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Types>
</file>

<file path=_rels/.rels>&#65279;<?xml version="1.0" encoding="utf-8"?><Relationships xmlns="http://schemas.openxmlformats.org/package/2006/relationships"><Relationship Type="http://schemas.openxmlformats.org/officeDocument/2006/relationships/officeDocument" Target="/word/document.xml" Id="prId0" /></Relationships>
</file>

<file path=word/document.xml><?xml version="1.0" encoding="utf-8"?>
<w:document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body>
    <w:tbl>
      <w:tblPr>
        <w:jc w:val="left"/>
        <w:tblLayout w:type="fixed"/>
        <w:tblCellMar>
          <w:left w:w="0" w:type="dxa"/>
          <w:right w:w="0" w:type="dxa"/>
        </w:tblCellMar>
      </w:tblPr>
      <w:tblGrid>
        <w:gridCol w:w="11240"/>
      </w:tblGrid>
      <w:tr>
        <w:trPr>
          <w:trHeight w:val="1314" w:hRule="exact"/>
        </w:trPr>
        <w:tc>
          <w:tcPr>
            <w:gridSpan w:val="1"/>
            <w:tcBorders>
              <w:top w:val="none" w:sz="0" w:color="#000000"/>
              <w:bottom w:val="none" w:sz="0" w:color="#000000"/>
              <w:left w:val="none" w:sz="0" w:color="#000000"/>
              <w:right w:val="none" w:sz="0" w:color="#000000"/>
            </w:tcBorders>
            <w:tcW w:w="11240" w:type="auto"/>
            <w:textDirection w:val="lrTb"/>
            <w:vAlign w:val="top"/>
            <w:shd w:val="clear" w:color="#335E82" w:fill="#335E82"/>
          </w:tcPr>
          <w:p>
            <w:pPr>
              <w:ind w:right="0" w:left="0" w:firstLine="0"/>
              <w:spacing w:before="684" w:after="324" w:line="216" w:lineRule="auto"/>
              <w:jc w:val="center"/>
              <w:rPr>
                <w:color w:val="#FFFFFF"/>
                <w:sz w:val="22"/>
                <w:lang w:val="en-US"/>
                <w:spacing w:val="-4"/>
                <w:w w:val="100"/>
                <w:strike w:val="false"/>
                <w:vertAlign w:val="baseline"/>
                <w:rFonts w:ascii="Arial" w:hAnsi="Arial"/>
              </w:rPr>
            </w:pPr>
            <w:r>
              <w:rPr>
                <w:color w:val="#FFFFFF"/>
                <w:sz w:val="22"/>
                <w:lang w:val="en-US"/>
                <w:spacing w:val="-4"/>
                <w:w w:val="100"/>
                <w:strike w:val="false"/>
                <w:vertAlign w:val="baseline"/>
                <w:rFonts w:ascii="Arial" w:hAnsi="Arial"/>
              </w:rPr>
              <w:t xml:space="preserve">CZECHIA - AGRICULTURAL CENSUS 2010 - METADATA REVIEW</w:t>
            </w:r>
          </w:p>
        </w:tc>
      </w:tr>
    </w:tbl>
    <w:p>
      <w:pPr>
        <w:ind w:right="0" w:left="1080" w:firstLine="0"/>
        <w:spacing w:before="648" w:after="0" w:line="201" w:lineRule="auto"/>
        <w:jc w:val="left"/>
        <w:rPr>
          <w:b w:val="true"/>
          <w:color w:val="#335E82"/>
          <w:sz w:val="16"/>
          <w:lang w:val="en-US"/>
          <w:spacing w:val="-10"/>
          <w:w w:val="100"/>
          <w:strike w:val="false"/>
          <w:vertAlign w:val="baseline"/>
          <w:rFonts w:ascii="Verdana" w:hAnsi="Verdana"/>
        </w:rPr>
      </w:pPr>
      <w:r>
        <w:pict>
          <v:shapetype id="_x0000_t1" coordsize="21600,21600" o:spt="202" path="m,l,21600r21600,l21600,xe">
            <v:stroke joinstyle="miter"/>
            <v:path gradientshapeok="t" o:connecttype="rect"/>
          </v:shapetype>
          <v:shape id="_x0000_s0" type="#_x0000_t1" filled="f" strokecolor="#000000" stroked="f" style="position:absolute;width:562pt;height:7.35pt;z-index:-1000;margin-left:22.05pt;margin-top:761.4pt;mso-wrap-distance-left:0pt;mso-wrap-distance-right:0pt;mso-position-horizontal-relative:page;mso-position-vertical-relative:page">
            <w10:wrap type="square" side="both"/>
            <v:fill opacity="1" o:opacity2="1" recolor="f" rotate="f" type="solid"/>
            <v:textbox inset="0pt, 0pt, 0pt, 0pt">
              <w:txbxContent>
                <w:p>
                  <w:pPr>
                    <w:ind w:right="0" w:left="10080" w:firstLine="0"/>
                    <w:spacing w:before="0" w:after="0" w:line="194" w:lineRule="auto"/>
                    <w:jc w:val="left"/>
                    <w:framePr w:hAnchor="page" w:vAnchor="page" w:x="441" w:y="15228" w:w="11240" w:h="147" w:hSpace="0" w:vSpace="0" w:wrap="3"/>
                    <w:rPr>
                      <w:color w:val="#000000"/>
                      <w:sz w:val="15"/>
                      <w:lang w:val="en-US"/>
                      <w:spacing w:val="0"/>
                      <w:w w:val="100"/>
                      <w:strike w:val="false"/>
                      <w:vertAlign w:val="baseline"/>
                      <w:rFonts w:ascii="Tahoma" w:hAnsi="Tahoma"/>
                    </w:rPr>
                  </w:pPr>
                  <w:r>
                    <w:rPr>
                      <w:color w:val="#000000"/>
                      <w:sz w:val="15"/>
                      <w:lang w:val="en-US"/>
                      <w:spacing w:val="0"/>
                      <w:w w:val="100"/>
                      <w:strike w:val="false"/>
                      <w:vertAlign w:val="baseline"/>
                      <w:rFonts w:ascii="Tahoma" w:hAnsi="Tahoma"/>
                    </w:rPr>
                    <w:t xml:space="preserve">241</w:t>
                  </w:r>
                </w:p>
              </w:txbxContent>
            </v:textbox>
          </v:shape>
        </w:pict>
      </w:r>
      <w:r>
        <w:rPr>
          <w:b w:val="true"/>
          <w:color w:val="#335E82"/>
          <w:sz w:val="16"/>
          <w:lang w:val="en-US"/>
          <w:spacing w:val="-10"/>
          <w:w w:val="100"/>
          <w:strike w:val="false"/>
          <w:vertAlign w:val="baseline"/>
          <w:rFonts w:ascii="Verdana" w:hAnsi="Verdana"/>
        </w:rPr>
        <w:t xml:space="preserve">HISTORICAL OUTLINE</w:t>
      </w:r>
    </w:p>
    <w:p>
      <w:pPr>
        <w:ind w:right="720" w:left="648" w:firstLine="0"/>
        <w:spacing w:before="72" w:after="0" w:line="240" w:lineRule="auto"/>
        <w:jc w:val="both"/>
        <w:rPr>
          <w:b w:val="true"/>
          <w:color w:val="#000000"/>
          <w:sz w:val="15"/>
          <w:lang w:val="en-US"/>
          <w:spacing w:val="1"/>
          <w:w w:val="100"/>
          <w:strike w:val="false"/>
          <w:vertAlign w:val="baseline"/>
          <w:rFonts w:ascii="Tahoma" w:hAnsi="Tahoma"/>
        </w:rPr>
      </w:pPr>
      <w:r>
        <w:rPr>
          <w:b w:val="true"/>
          <w:color w:val="#000000"/>
          <w:sz w:val="15"/>
          <w:lang w:val="en-US"/>
          <w:spacing w:val="1"/>
          <w:w w:val="100"/>
          <w:strike w:val="false"/>
          <w:vertAlign w:val="baseline"/>
          <w:rFonts w:ascii="Tahoma" w:hAnsi="Tahoma"/>
        </w:rPr>
        <w:t xml:space="preserve">The Czech Republic participated in the WCA in 1930, 1970, 1980 and 1990 as part of the federal state formed by the Czech and </w:t>
      </w:r>
      <w:r>
        <w:rPr>
          <w:b w:val="true"/>
          <w:color w:val="#000000"/>
          <w:sz w:val="15"/>
          <w:lang w:val="en-US"/>
          <w:spacing w:val="0"/>
          <w:w w:val="100"/>
          <w:strike w:val="false"/>
          <w:vertAlign w:val="baseline"/>
          <w:rFonts w:ascii="Tahoma" w:hAnsi="Tahoma"/>
        </w:rPr>
        <w:t xml:space="preserve">the Slovak Republics. These were followed by the agricultural censuses (ACs) carried out in 2000 and 2010. The AC 2010, to which the metadata and data presented here refer, was conducted together with the SAPM.</w:t>
      </w:r>
    </w:p>
    <w:p>
      <w:pPr>
        <w:ind w:right="7344" w:left="648" w:firstLine="432"/>
        <w:spacing w:before="216" w:after="0" w:line="360" w:lineRule="auto"/>
        <w:jc w:val="left"/>
        <w:rPr>
          <w:b w:val="true"/>
          <w:color w:val="#335E82"/>
          <w:sz w:val="16"/>
          <w:lang w:val="en-US"/>
          <w:spacing w:val="-15"/>
          <w:w w:val="100"/>
          <w:strike w:val="false"/>
          <w:vertAlign w:val="baseline"/>
          <w:rFonts w:ascii="Verdana" w:hAnsi="Verdana"/>
        </w:rPr>
      </w:pPr>
      <w:r>
        <w:rPr>
          <w:b w:val="true"/>
          <w:color w:val="#335E82"/>
          <w:sz w:val="16"/>
          <w:lang w:val="en-US"/>
          <w:spacing w:val="-15"/>
          <w:w w:val="100"/>
          <w:strike w:val="false"/>
          <w:vertAlign w:val="baseline"/>
          <w:rFonts w:ascii="Verdana" w:hAnsi="Verdana"/>
        </w:rPr>
        <w:t xml:space="preserve">LEGAL BASIS AND ORGANIZATION </w:t>
      </w:r>
      <w:r>
        <w:rPr>
          <w:b w:val="true"/>
          <w:i w:val="true"/>
          <w:color w:val="#000000"/>
          <w:sz w:val="16"/>
          <w:lang w:val="en-US"/>
          <w:spacing w:val="-10"/>
          <w:w w:val="100"/>
          <w:strike w:val="false"/>
          <w:vertAlign w:val="baseline"/>
          <w:rFonts w:ascii="Verdana" w:hAnsi="Verdana"/>
        </w:rPr>
        <w:t xml:space="preserve">Legal framework</w:t>
      </w:r>
    </w:p>
    <w:p>
      <w:pPr>
        <w:ind w:right="0" w:left="648" w:firstLine="0"/>
        <w:spacing w:before="36" w:after="0" w:line="240" w:lineRule="auto"/>
        <w:jc w:val="left"/>
        <w:rPr>
          <w:b w:val="true"/>
          <w:color w:val="#000000"/>
          <w:sz w:val="15"/>
          <w:lang w:val="en-US"/>
          <w:spacing w:val="0"/>
          <w:w w:val="100"/>
          <w:strike w:val="false"/>
          <w:vertAlign w:val="baseline"/>
          <w:rFonts w:ascii="Tahoma" w:hAnsi="Tahoma"/>
        </w:rPr>
      </w:pPr>
      <w:r>
        <w:rPr>
          <w:b w:val="true"/>
          <w:color w:val="#000000"/>
          <w:sz w:val="15"/>
          <w:lang w:val="en-US"/>
          <w:spacing w:val="0"/>
          <w:w w:val="100"/>
          <w:strike w:val="false"/>
          <w:vertAlign w:val="baseline"/>
          <w:rFonts w:ascii="Tahoma" w:hAnsi="Tahoma"/>
        </w:rPr>
        <w:t xml:space="preserve">The agricultural census legislation included:</w:t>
      </w:r>
    </w:p>
    <w:p>
      <w:pPr>
        <w:ind w:right="0" w:left="792" w:firstLine="0"/>
        <w:spacing w:before="0" w:after="0" w:line="240" w:lineRule="auto"/>
        <w:jc w:val="left"/>
        <w:tabs>
          <w:tab w:val="clear" w:pos="216"/>
          <w:tab w:val="decimal" w:pos="1008"/>
        </w:tabs>
        <w:numPr>
          <w:ilvl w:val="0"/>
          <w:numId w:val="2"/>
        </w:numPr>
        <w:rPr>
          <w:b w:val="true"/>
          <w:color w:val="#000000"/>
          <w:sz w:val="15"/>
          <w:lang w:val="en-US"/>
          <w:spacing w:val="0"/>
          <w:w w:val="100"/>
          <w:strike w:val="false"/>
          <w:vertAlign w:val="baseline"/>
          <w:rFonts w:ascii="Tahoma" w:hAnsi="Tahoma"/>
        </w:rPr>
      </w:pPr>
      <w:r>
        <w:rPr>
          <w:b w:val="true"/>
          <w:color w:val="#000000"/>
          <w:sz w:val="15"/>
          <w:lang w:val="en-US"/>
          <w:spacing w:val="0"/>
          <w:w w:val="100"/>
          <w:strike w:val="false"/>
          <w:vertAlign w:val="baseline"/>
          <w:rFonts w:ascii="Tahoma" w:hAnsi="Tahoma"/>
        </w:rPr>
        <w:t xml:space="preserve">Act No. 89/1995 Coll., on the State Statistical Service, as amended, the basic national legislation related to statistical surveys;</w:t>
      </w:r>
    </w:p>
    <w:p>
      <w:pPr>
        <w:ind w:right="936" w:left="1008" w:firstLine="-216"/>
        <w:spacing w:before="36" w:after="0" w:line="240" w:lineRule="auto"/>
        <w:jc w:val="left"/>
        <w:tabs>
          <w:tab w:val="clear" w:pos="216"/>
          <w:tab w:val="decimal" w:pos="1008"/>
        </w:tabs>
        <w:numPr>
          <w:ilvl w:val="0"/>
          <w:numId w:val="2"/>
        </w:numPr>
        <w:rPr>
          <w:b w:val="true"/>
          <w:color w:val="#000000"/>
          <w:sz w:val="15"/>
          <w:lang w:val="en-US"/>
          <w:spacing w:val="0"/>
          <w:w w:val="100"/>
          <w:strike w:val="false"/>
          <w:vertAlign w:val="baseline"/>
          <w:rFonts w:ascii="Tahoma" w:hAnsi="Tahoma"/>
        </w:rPr>
      </w:pPr>
      <w:r>
        <w:rPr>
          <w:b w:val="true"/>
          <w:color w:val="#000000"/>
          <w:sz w:val="15"/>
          <w:lang w:val="en-US"/>
          <w:spacing w:val="0"/>
          <w:w w:val="100"/>
          <w:strike w:val="false"/>
          <w:vertAlign w:val="baseline"/>
          <w:rFonts w:ascii="Tahoma" w:hAnsi="Tahoma"/>
        </w:rPr>
        <w:t xml:space="preserve">the Programme of Statistical Surveys for the year 2010, which was published as an annex to Chapter 125 of Decree No. </w:t>
      </w:r>
      <w:r>
        <w:rPr>
          <w:b w:val="true"/>
          <w:color w:val="#000000"/>
          <w:sz w:val="15"/>
          <w:lang w:val="en-US"/>
          <w:spacing w:val="3"/>
          <w:w w:val="100"/>
          <w:strike w:val="false"/>
          <w:vertAlign w:val="baseline"/>
          <w:rFonts w:ascii="Tahoma" w:hAnsi="Tahoma"/>
        </w:rPr>
        <w:t xml:space="preserve">386/2009, in the Collection of Laws of the Czech Republic, of 13 November 2009; and</w:t>
      </w:r>
    </w:p>
    <w:p>
      <w:pPr>
        <w:ind w:right="0" w:left="1008" w:firstLine="-216"/>
        <w:spacing w:before="72" w:after="0" w:line="240" w:lineRule="auto"/>
        <w:jc w:val="left"/>
        <w:tabs>
          <w:tab w:val="clear" w:pos="216"/>
          <w:tab w:val="decimal" w:pos="1008"/>
        </w:tabs>
        <w:numPr>
          <w:ilvl w:val="0"/>
          <w:numId w:val="2"/>
        </w:numPr>
        <w:rPr>
          <w:b w:val="true"/>
          <w:color w:val="#000000"/>
          <w:sz w:val="15"/>
          <w:lang w:val="en-US"/>
          <w:spacing w:val="2"/>
          <w:w w:val="100"/>
          <w:strike w:val="false"/>
          <w:vertAlign w:val="baseline"/>
          <w:rFonts w:ascii="Tahoma" w:hAnsi="Tahoma"/>
        </w:rPr>
      </w:pPr>
      <w:r>
        <w:rPr>
          <w:b w:val="true"/>
          <w:color w:val="#000000"/>
          <w:sz w:val="15"/>
          <w:lang w:val="en-US"/>
          <w:spacing w:val="2"/>
          <w:w w:val="100"/>
          <w:strike w:val="false"/>
          <w:vertAlign w:val="baseline"/>
          <w:rFonts w:ascii="Tahoma" w:hAnsi="Tahoma"/>
        </w:rPr>
        <w:t xml:space="preserve">the EU legislation' relevant for implementing the FSS 2010.</w:t>
      </w:r>
    </w:p>
    <w:p>
      <w:pPr>
        <w:ind w:right="0" w:left="648" w:firstLine="0"/>
        <w:spacing w:before="108" w:after="0" w:line="201" w:lineRule="auto"/>
        <w:jc w:val="left"/>
        <w:rPr>
          <w:b w:val="true"/>
          <w:i w:val="true"/>
          <w:color w:val="#000000"/>
          <w:sz w:val="16"/>
          <w:lang w:val="en-US"/>
          <w:spacing w:val="-11"/>
          <w:w w:val="100"/>
          <w:strike w:val="false"/>
          <w:vertAlign w:val="baseline"/>
          <w:rFonts w:ascii="Verdana" w:hAnsi="Verdana"/>
        </w:rPr>
      </w:pPr>
      <w:r>
        <w:rPr>
          <w:b w:val="true"/>
          <w:i w:val="true"/>
          <w:color w:val="#000000"/>
          <w:sz w:val="16"/>
          <w:lang w:val="en-US"/>
          <w:spacing w:val="-11"/>
          <w:w w:val="100"/>
          <w:strike w:val="false"/>
          <w:vertAlign w:val="baseline"/>
          <w:rFonts w:ascii="Verdana" w:hAnsi="Verdana"/>
        </w:rPr>
        <w:t xml:space="preserve">Institutional framework and international collaboration</w:t>
      </w:r>
    </w:p>
    <w:p>
      <w:pPr>
        <w:ind w:right="720" w:left="648" w:firstLine="0"/>
        <w:spacing w:before="72" w:after="0" w:line="240" w:lineRule="auto"/>
        <w:jc w:val="both"/>
        <w:rPr>
          <w:b w:val="true"/>
          <w:color w:val="#000000"/>
          <w:sz w:val="15"/>
          <w:lang w:val="en-US"/>
          <w:spacing w:val="0"/>
          <w:w w:val="100"/>
          <w:strike w:val="false"/>
          <w:vertAlign w:val="baseline"/>
          <w:rFonts w:ascii="Tahoma" w:hAnsi="Tahoma"/>
        </w:rPr>
      </w:pPr>
      <w:r>
        <w:rPr>
          <w:b w:val="true"/>
          <w:color w:val="#000000"/>
          <w:sz w:val="15"/>
          <w:lang w:val="en-US"/>
          <w:spacing w:val="0"/>
          <w:w w:val="100"/>
          <w:strike w:val="false"/>
          <w:vertAlign w:val="baseline"/>
          <w:rFonts w:ascii="Tahoma" w:hAnsi="Tahoma"/>
        </w:rPr>
        <w:t xml:space="preserve">The Agricultural, Forestry and Environmental Statistics Department (AFESD) of the Czech Statistical Office (CZSO) was responsible for the preparation, adherence to methodology and the organization of the AC 2010. For the implementation of the AC 2010, the CZSO also collaborated with other national institutions, such as the Ministry of Agriculture, the Institute of Agricultural Economics </w:t>
      </w:r>
      <w:r>
        <w:rPr>
          <w:b w:val="true"/>
          <w:color w:val="#000000"/>
          <w:sz w:val="15"/>
          <w:lang w:val="en-US"/>
          <w:spacing w:val="1"/>
          <w:w w:val="100"/>
          <w:strike w:val="false"/>
          <w:vertAlign w:val="baseline"/>
          <w:rFonts w:ascii="Tahoma" w:hAnsi="Tahoma"/>
        </w:rPr>
        <w:t xml:space="preserve">and Information, the Research Institute of Agricultural Engineering, the Agrarian Chamber of the Czech Republic and other </w:t>
      </w:r>
      <w:r>
        <w:rPr>
          <w:b w:val="true"/>
          <w:color w:val="#000000"/>
          <w:sz w:val="15"/>
          <w:lang w:val="en-US"/>
          <w:spacing w:val="0"/>
          <w:w w:val="100"/>
          <w:strike w:val="false"/>
          <w:vertAlign w:val="baseline"/>
          <w:rFonts w:ascii="Tahoma" w:hAnsi="Tahoma"/>
        </w:rPr>
        <w:t xml:space="preserve">agricultural organizations. The director of the AFESD was fully responsible for conducting the AC. The heads of the CZSO regional </w:t>
      </w:r>
      <w:r>
        <w:rPr>
          <w:b w:val="true"/>
          <w:color w:val="#000000"/>
          <w:sz w:val="15"/>
          <w:lang w:val="en-US"/>
          <w:spacing w:val="1"/>
          <w:w w:val="100"/>
          <w:strike w:val="false"/>
          <w:vertAlign w:val="baseline"/>
          <w:rFonts w:ascii="Tahoma" w:hAnsi="Tahoma"/>
        </w:rPr>
        <w:t xml:space="preserve">offices were responsible for the AC operations in the field.</w:t>
      </w:r>
    </w:p>
    <w:p>
      <w:pPr>
        <w:ind w:right="0" w:left="648" w:firstLine="0"/>
        <w:spacing w:before="216" w:after="0" w:line="201" w:lineRule="auto"/>
        <w:jc w:val="left"/>
        <w:rPr>
          <w:b w:val="true"/>
          <w:i w:val="true"/>
          <w:color w:val="#000000"/>
          <w:sz w:val="16"/>
          <w:lang w:val="en-US"/>
          <w:spacing w:val="-6"/>
          <w:w w:val="100"/>
          <w:strike w:val="false"/>
          <w:vertAlign w:val="baseline"/>
          <w:rFonts w:ascii="Verdana" w:hAnsi="Verdana"/>
        </w:rPr>
      </w:pPr>
      <w:r>
        <w:rPr>
          <w:b w:val="true"/>
          <w:i w:val="true"/>
          <w:color w:val="#000000"/>
          <w:sz w:val="16"/>
          <w:lang w:val="en-US"/>
          <w:spacing w:val="-6"/>
          <w:w w:val="100"/>
          <w:strike w:val="false"/>
          <w:vertAlign w:val="baseline"/>
          <w:rFonts w:ascii="Verdana" w:hAnsi="Verdana"/>
        </w:rPr>
        <w:t xml:space="preserve">Census staff</w:t>
      </w:r>
    </w:p>
    <w:p>
      <w:pPr>
        <w:ind w:right="0" w:left="648" w:firstLine="0"/>
        <w:spacing w:before="36" w:after="0" w:line="240" w:lineRule="auto"/>
        <w:jc w:val="left"/>
        <w:rPr>
          <w:b w:val="true"/>
          <w:color w:val="#000000"/>
          <w:sz w:val="15"/>
          <w:lang w:val="en-US"/>
          <w:spacing w:val="0"/>
          <w:w w:val="100"/>
          <w:strike w:val="false"/>
          <w:vertAlign w:val="baseline"/>
          <w:rFonts w:ascii="Tahoma" w:hAnsi="Tahoma"/>
        </w:rPr>
      </w:pPr>
      <w:r>
        <w:rPr>
          <w:b w:val="true"/>
          <w:color w:val="#000000"/>
          <w:sz w:val="15"/>
          <w:lang w:val="en-US"/>
          <w:spacing w:val="0"/>
          <w:w w:val="100"/>
          <w:strike w:val="false"/>
          <w:vertAlign w:val="baseline"/>
          <w:rFonts w:ascii="Tahoma" w:hAnsi="Tahoma"/>
        </w:rPr>
        <w:t xml:space="preserve">The staff involved in the AC 2010 amounted to 265 persons.</w:t>
      </w:r>
    </w:p>
    <w:p>
      <w:pPr>
        <w:ind w:right="0" w:left="1080" w:firstLine="0"/>
        <w:spacing w:before="252" w:after="0" w:line="204" w:lineRule="auto"/>
        <w:jc w:val="left"/>
        <w:rPr>
          <w:b w:val="true"/>
          <w:color w:val="#335E82"/>
          <w:sz w:val="16"/>
          <w:lang w:val="en-US"/>
          <w:spacing w:val="-6"/>
          <w:w w:val="100"/>
          <w:strike w:val="false"/>
          <w:vertAlign w:val="baseline"/>
          <w:rFonts w:ascii="Verdana" w:hAnsi="Verdana"/>
        </w:rPr>
      </w:pPr>
      <w:r>
        <w:rPr>
          <w:b w:val="true"/>
          <w:color w:val="#335E82"/>
          <w:sz w:val="16"/>
          <w:lang w:val="en-US"/>
          <w:spacing w:val="-6"/>
          <w:w w:val="100"/>
          <w:strike w:val="false"/>
          <w:vertAlign w:val="baseline"/>
          <w:rFonts w:ascii="Verdana" w:hAnsi="Verdana"/>
        </w:rPr>
        <w:t xml:space="preserve">REFERENCE DATE AND PERIOD</w:t>
      </w:r>
    </w:p>
    <w:p>
      <w:pPr>
        <w:ind w:right="0" w:left="648" w:firstLine="0"/>
        <w:spacing w:before="72" w:after="0" w:line="240" w:lineRule="auto"/>
        <w:jc w:val="left"/>
        <w:rPr>
          <w:b w:val="true"/>
          <w:i w:val="true"/>
          <w:color w:val="#000000"/>
          <w:sz w:val="16"/>
          <w:lang w:val="en-US"/>
          <w:spacing w:val="-2"/>
          <w:w w:val="100"/>
          <w:strike w:val="false"/>
          <w:vertAlign w:val="baseline"/>
          <w:rFonts w:ascii="Verdana" w:hAnsi="Verdana"/>
        </w:rPr>
      </w:pPr>
      <w:r>
        <w:rPr>
          <w:b w:val="true"/>
          <w:i w:val="true"/>
          <w:color w:val="#000000"/>
          <w:sz w:val="16"/>
          <w:lang w:val="en-US"/>
          <w:spacing w:val="-2"/>
          <w:w w:val="100"/>
          <w:strike w:val="false"/>
          <w:vertAlign w:val="baseline"/>
          <w:rFonts w:ascii="Verdana" w:hAnsi="Verdana"/>
        </w:rPr>
        <w:t xml:space="preserve">Reference day: </w:t>
      </w:r>
      <w:r>
        <w:rPr>
          <w:b w:val="true"/>
          <w:color w:val="#000000"/>
          <w:sz w:val="15"/>
          <w:lang w:val="en-US"/>
          <w:spacing w:val="-2"/>
          <w:w w:val="100"/>
          <w:strike w:val="false"/>
          <w:vertAlign w:val="baseline"/>
          <w:rFonts w:ascii="Tahoma" w:hAnsi="Tahoma"/>
        </w:rPr>
        <w:t xml:space="preserve">30 September 2010, for land use, livestock and SAPM variables.</w:t>
      </w:r>
    </w:p>
    <w:p>
      <w:pPr>
        <w:ind w:right="0" w:left="648" w:firstLine="0"/>
        <w:spacing w:before="108" w:after="0" w:line="240" w:lineRule="auto"/>
        <w:jc w:val="left"/>
        <w:rPr>
          <w:b w:val="true"/>
          <w:i w:val="true"/>
          <w:color w:val="#000000"/>
          <w:sz w:val="16"/>
          <w:lang w:val="en-US"/>
          <w:spacing w:val="-10"/>
          <w:w w:val="100"/>
          <w:strike w:val="false"/>
          <w:vertAlign w:val="baseline"/>
          <w:rFonts w:ascii="Verdana" w:hAnsi="Verdana"/>
        </w:rPr>
      </w:pPr>
      <w:r>
        <w:rPr>
          <w:b w:val="true"/>
          <w:i w:val="true"/>
          <w:color w:val="#000000"/>
          <w:sz w:val="16"/>
          <w:lang w:val="en-US"/>
          <w:spacing w:val="-10"/>
          <w:w w:val="100"/>
          <w:strike w:val="false"/>
          <w:vertAlign w:val="baseline"/>
          <w:rFonts w:ascii="Verdana" w:hAnsi="Verdana"/>
        </w:rPr>
        <w:t xml:space="preserve">Reference periods:</w:t>
      </w:r>
    </w:p>
    <w:p>
      <w:pPr>
        <w:ind w:right="0" w:left="792" w:firstLine="0"/>
        <w:spacing w:before="36" w:after="0" w:line="240" w:lineRule="auto"/>
        <w:jc w:val="left"/>
        <w:tabs>
          <w:tab w:val="clear" w:pos="216"/>
          <w:tab w:val="decimal" w:pos="1008"/>
        </w:tabs>
        <w:numPr>
          <w:ilvl w:val="0"/>
          <w:numId w:val="2"/>
        </w:numPr>
        <w:rPr>
          <w:b w:val="true"/>
          <w:color w:val="#000000"/>
          <w:sz w:val="15"/>
          <w:lang w:val="en-US"/>
          <w:spacing w:val="1"/>
          <w:w w:val="100"/>
          <w:strike w:val="false"/>
          <w:vertAlign w:val="baseline"/>
          <w:rFonts w:ascii="Tahoma" w:hAnsi="Tahoma"/>
        </w:rPr>
      </w:pPr>
      <w:r>
        <w:rPr>
          <w:b w:val="true"/>
          <w:color w:val="#000000"/>
          <w:sz w:val="15"/>
          <w:lang w:val="en-US"/>
          <w:spacing w:val="1"/>
          <w:w w:val="100"/>
          <w:strike w:val="false"/>
          <w:vertAlign w:val="baseline"/>
          <w:rFonts w:ascii="Tahoma" w:hAnsi="Tahoma"/>
        </w:rPr>
        <w:t xml:space="preserve">from 1 October 2009 to 30 September 2010, for labour force variables, cropped area, area irrigated at least once;</w:t>
      </w:r>
    </w:p>
    <w:p>
      <w:pPr>
        <w:ind w:right="0" w:left="792" w:firstLine="0"/>
        <w:spacing w:before="36" w:after="0" w:line="240" w:lineRule="auto"/>
        <w:jc w:val="left"/>
        <w:tabs>
          <w:tab w:val="clear" w:pos="216"/>
          <w:tab w:val="decimal" w:pos="1008"/>
        </w:tabs>
        <w:numPr>
          <w:ilvl w:val="0"/>
          <w:numId w:val="2"/>
        </w:numPr>
        <w:rPr>
          <w:b w:val="true"/>
          <w:color w:val="#000000"/>
          <w:sz w:val="15"/>
          <w:lang w:val="en-US"/>
          <w:spacing w:val="1"/>
          <w:w w:val="100"/>
          <w:strike w:val="false"/>
          <w:vertAlign w:val="baseline"/>
          <w:rFonts w:ascii="Tahoma" w:hAnsi="Tahoma"/>
        </w:rPr>
      </w:pPr>
      <w:r>
        <w:rPr>
          <w:b w:val="true"/>
          <w:color w:val="#000000"/>
          <w:sz w:val="15"/>
          <w:lang w:val="en-US"/>
          <w:spacing w:val="1"/>
          <w:w w:val="100"/>
          <w:strike w:val="false"/>
          <w:vertAlign w:val="baseline"/>
          <w:rFonts w:ascii="Tahoma" w:hAnsi="Tahoma"/>
        </w:rPr>
        <w:t xml:space="preserve">the last three years (2008-2010), for support for rural development variables, landscape features, etc.</w:t>
      </w:r>
    </w:p>
    <w:p>
      <w:pPr>
        <w:ind w:right="0" w:left="648" w:firstLine="0"/>
        <w:spacing w:before="216" w:after="0" w:line="213" w:lineRule="auto"/>
        <w:jc w:val="left"/>
        <w:rPr>
          <w:b w:val="true"/>
          <w:color w:val="#335E82"/>
          <w:sz w:val="16"/>
          <w:lang w:val="en-US"/>
          <w:spacing w:val="0"/>
          <w:w w:val="100"/>
          <w:strike w:val="false"/>
          <w:vertAlign w:val="baseline"/>
          <w:rFonts w:ascii="Verdana" w:hAnsi="Verdana"/>
        </w:rPr>
      </w:pPr>
      <w:r>
        <w:rPr>
          <w:b w:val="true"/>
          <w:color w:val="#335E82"/>
          <w:sz w:val="16"/>
          <w:lang w:val="en-US"/>
          <w:spacing w:val="0"/>
          <w:w w:val="100"/>
          <w:strike w:val="false"/>
          <w:vertAlign w:val="baseline"/>
          <w:rFonts w:ascii="Verdana" w:hAnsi="Verdana"/>
        </w:rPr>
        <w:t xml:space="preserve">4. ENUMERATION PERIOD</w:t>
      </w:r>
    </w:p>
    <w:p>
      <w:pPr>
        <w:ind w:right="720" w:left="648" w:firstLine="0"/>
        <w:spacing w:before="72" w:after="0" w:line="240" w:lineRule="auto"/>
        <w:jc w:val="left"/>
        <w:rPr>
          <w:b w:val="true"/>
          <w:color w:val="#000000"/>
          <w:sz w:val="15"/>
          <w:lang w:val="en-US"/>
          <w:spacing w:val="0"/>
          <w:w w:val="100"/>
          <w:strike w:val="false"/>
          <w:vertAlign w:val="baseline"/>
          <w:rFonts w:ascii="Tahoma" w:hAnsi="Tahoma"/>
        </w:rPr>
      </w:pPr>
      <w:r>
        <w:rPr>
          <w:b w:val="true"/>
          <w:color w:val="#000000"/>
          <w:sz w:val="15"/>
          <w:lang w:val="en-US"/>
          <w:spacing w:val="0"/>
          <w:w w:val="100"/>
          <w:strike w:val="false"/>
          <w:vertAlign w:val="baseline"/>
          <w:rFonts w:ascii="Tahoma" w:hAnsi="Tahoma"/>
        </w:rPr>
        <w:t xml:space="preserve">The enumeration was conducted from September to December 2010 (the respondents were requested to reply within 30 days of </w:t>
      </w:r>
      <w:r>
        <w:rPr>
          <w:b w:val="true"/>
          <w:color w:val="#000000"/>
          <w:sz w:val="15"/>
          <w:lang w:val="en-US"/>
          <w:spacing w:val="1"/>
          <w:w w:val="100"/>
          <w:strike w:val="false"/>
          <w:vertAlign w:val="baseline"/>
          <w:rFonts w:ascii="Tahoma" w:hAnsi="Tahoma"/>
        </w:rPr>
        <w:t xml:space="preserve">being contacted). The very last day of the follow-up data collection operation was 22 February 2011.</w:t>
      </w:r>
    </w:p>
    <w:p>
      <w:pPr>
        <w:ind w:right="4464" w:left="648" w:firstLine="360"/>
        <w:spacing w:before="216" w:after="0" w:line="302" w:lineRule="auto"/>
        <w:jc w:val="left"/>
        <w:rPr>
          <w:b w:val="true"/>
          <w:color w:val="#335E82"/>
          <w:sz w:val="16"/>
          <w:lang w:val="en-US"/>
          <w:spacing w:val="-8"/>
          <w:w w:val="100"/>
          <w:strike w:val="false"/>
          <w:vertAlign w:val="baseline"/>
          <w:rFonts w:ascii="Verdana" w:hAnsi="Verdana"/>
        </w:rPr>
      </w:pPr>
      <w:r>
        <w:rPr>
          <w:b w:val="true"/>
          <w:color w:val="#335E82"/>
          <w:sz w:val="16"/>
          <w:lang w:val="en-US"/>
          <w:spacing w:val="-8"/>
          <w:w w:val="100"/>
          <w:strike w:val="false"/>
          <w:vertAlign w:val="baseline"/>
          <w:rFonts w:ascii="Verdana" w:hAnsi="Verdana"/>
        </w:rPr>
        <w:t xml:space="preserve">SCOPE OF THE CENSUS AND DEFINITION OF THE STATISTICAL UNIT </w:t>
      </w:r>
      <w:r>
        <w:rPr>
          <w:b w:val="true"/>
          <w:color w:val="#000000"/>
          <w:sz w:val="15"/>
          <w:lang w:val="en-US"/>
          <w:spacing w:val="-2"/>
          <w:w w:val="100"/>
          <w:strike w:val="false"/>
          <w:vertAlign w:val="baseline"/>
          <w:rFonts w:ascii="Tahoma" w:hAnsi="Tahoma"/>
        </w:rPr>
        <w:t xml:space="preserve">The </w:t>
      </w:r>
      <w:r>
        <w:rPr>
          <w:b w:val="true"/>
          <w:i w:val="true"/>
          <w:color w:val="#000000"/>
          <w:sz w:val="16"/>
          <w:lang w:val="en-US"/>
          <w:spacing w:val="-2"/>
          <w:w w:val="100"/>
          <w:strike w:val="false"/>
          <w:vertAlign w:val="baseline"/>
          <w:rFonts w:ascii="Verdana" w:hAnsi="Verdana"/>
        </w:rPr>
        <w:t xml:space="preserve">census scope </w:t>
      </w:r>
      <w:r>
        <w:rPr>
          <w:b w:val="true"/>
          <w:color w:val="#000000"/>
          <w:sz w:val="15"/>
          <w:lang w:val="en-US"/>
          <w:spacing w:val="-2"/>
          <w:w w:val="100"/>
          <w:strike w:val="false"/>
          <w:vertAlign w:val="baseline"/>
          <w:rFonts w:ascii="Tahoma" w:hAnsi="Tahoma"/>
        </w:rPr>
        <w:t xml:space="preserve">covered agricultural activities (crop and livestock production).</w:t>
      </w:r>
    </w:p>
    <w:p>
      <w:pPr>
        <w:ind w:right="720" w:left="648" w:firstLine="0"/>
        <w:spacing w:before="72" w:after="0" w:line="240" w:lineRule="auto"/>
        <w:jc w:val="both"/>
        <w:rPr>
          <w:b w:val="true"/>
          <w:color w:val="#000000"/>
          <w:sz w:val="15"/>
          <w:lang w:val="en-US"/>
          <w:spacing w:val="-2"/>
          <w:w w:val="100"/>
          <w:strike w:val="false"/>
          <w:vertAlign w:val="baseline"/>
          <w:rFonts w:ascii="Tahoma" w:hAnsi="Tahoma"/>
        </w:rPr>
      </w:pPr>
      <w:r>
        <w:rPr>
          <w:b w:val="true"/>
          <w:color w:val="#000000"/>
          <w:sz w:val="15"/>
          <w:lang w:val="en-US"/>
          <w:spacing w:val="-2"/>
          <w:w w:val="100"/>
          <w:strike w:val="false"/>
          <w:vertAlign w:val="baseline"/>
          <w:rFonts w:ascii="Tahoma" w:hAnsi="Tahoma"/>
        </w:rPr>
        <w:t xml:space="preserve">The </w:t>
      </w:r>
      <w:r>
        <w:rPr>
          <w:b w:val="true"/>
          <w:i w:val="true"/>
          <w:color w:val="#000000"/>
          <w:sz w:val="16"/>
          <w:lang w:val="en-US"/>
          <w:spacing w:val="-2"/>
          <w:w w:val="100"/>
          <w:strike w:val="false"/>
          <w:vertAlign w:val="baseline"/>
          <w:rFonts w:ascii="Verdana" w:hAnsi="Verdana"/>
        </w:rPr>
        <w:t xml:space="preserve">statistical unit </w:t>
      </w:r>
      <w:r>
        <w:rPr>
          <w:b w:val="true"/>
          <w:color w:val="#000000"/>
          <w:sz w:val="15"/>
          <w:lang w:val="en-US"/>
          <w:spacing w:val="-2"/>
          <w:w w:val="100"/>
          <w:strike w:val="false"/>
          <w:vertAlign w:val="baseline"/>
          <w:rFonts w:ascii="Tahoma" w:hAnsi="Tahoma"/>
        </w:rPr>
        <w:t xml:space="preserve">was the agricultural holding defined as a single unit, both technically and economically, which has a single </w:t>
      </w:r>
      <w:r>
        <w:rPr>
          <w:b w:val="true"/>
          <w:color w:val="#000000"/>
          <w:sz w:val="15"/>
          <w:lang w:val="en-US"/>
          <w:spacing w:val="-1"/>
          <w:w w:val="100"/>
          <w:strike w:val="false"/>
          <w:vertAlign w:val="baseline"/>
          <w:rFonts w:ascii="Tahoma" w:hAnsi="Tahoma"/>
        </w:rPr>
        <w:t xml:space="preserve">management and which undertakes agricultural activities based on the common statistical classification of economic activities (CZ</w:t>
        <w:softHyphen/>
      </w:r>
      <w:r>
        <w:rPr>
          <w:b w:val="true"/>
          <w:color w:val="#000000"/>
          <w:sz w:val="15"/>
          <w:lang w:val="en-US"/>
          <w:spacing w:val="0"/>
          <w:w w:val="100"/>
          <w:strike w:val="false"/>
          <w:vertAlign w:val="baseline"/>
          <w:rFonts w:ascii="Tahoma" w:hAnsi="Tahoma"/>
        </w:rPr>
        <w:t xml:space="preserve">NACE), either as its primary or secondary activity, including holdings exclusively maintaining agricultural land in good agricultural and environmental condition.</w:t>
      </w:r>
    </w:p>
    <w:p>
      <w:pPr>
        <w:ind w:right="0" w:left="1008" w:firstLine="0"/>
        <w:spacing w:before="216" w:after="0" w:line="204" w:lineRule="auto"/>
        <w:jc w:val="left"/>
        <w:rPr>
          <w:b w:val="true"/>
          <w:color w:val="#335E82"/>
          <w:sz w:val="16"/>
          <w:lang w:val="en-US"/>
          <w:spacing w:val="-4"/>
          <w:w w:val="100"/>
          <w:strike w:val="false"/>
          <w:vertAlign w:val="baseline"/>
          <w:rFonts w:ascii="Verdana" w:hAnsi="Verdana"/>
        </w:rPr>
      </w:pPr>
      <w:r>
        <w:rPr>
          <w:b w:val="true"/>
          <w:color w:val="#335E82"/>
          <w:sz w:val="16"/>
          <w:lang w:val="en-US"/>
          <w:spacing w:val="-4"/>
          <w:w w:val="100"/>
          <w:strike w:val="false"/>
          <w:vertAlign w:val="baseline"/>
          <w:rFonts w:ascii="Verdana" w:hAnsi="Verdana"/>
        </w:rPr>
        <w:t xml:space="preserve">GEOGRAPHIC COVERAGE</w:t>
      </w:r>
    </w:p>
    <w:p>
      <w:pPr>
        <w:ind w:right="0" w:left="648" w:firstLine="0"/>
        <w:spacing w:before="72" w:after="0" w:line="240" w:lineRule="auto"/>
        <w:jc w:val="left"/>
        <w:rPr>
          <w:b w:val="true"/>
          <w:color w:val="#000000"/>
          <w:sz w:val="15"/>
          <w:lang w:val="en-US"/>
          <w:spacing w:val="0"/>
          <w:w w:val="100"/>
          <w:strike w:val="false"/>
          <w:vertAlign w:val="baseline"/>
          <w:rFonts w:ascii="Tahoma" w:hAnsi="Tahoma"/>
        </w:rPr>
      </w:pPr>
      <w:r>
        <w:rPr>
          <w:b w:val="true"/>
          <w:color w:val="#000000"/>
          <w:sz w:val="15"/>
          <w:lang w:val="en-US"/>
          <w:spacing w:val="0"/>
          <w:w w:val="100"/>
          <w:strike w:val="false"/>
          <w:vertAlign w:val="baseline"/>
          <w:rFonts w:ascii="Tahoma" w:hAnsi="Tahoma"/>
        </w:rPr>
        <w:t xml:space="preserve">The AC 2010 covered the entire country.</w:t>
      </w:r>
    </w:p>
    <w:p>
      <w:pPr>
        <w:ind w:right="0" w:left="1008" w:firstLine="0"/>
        <w:spacing w:before="216" w:after="0" w:line="204" w:lineRule="auto"/>
        <w:jc w:val="left"/>
        <w:rPr>
          <w:b w:val="true"/>
          <w:color w:val="#335E82"/>
          <w:sz w:val="16"/>
          <w:lang w:val="en-US"/>
          <w:spacing w:val="-4"/>
          <w:w w:val="100"/>
          <w:strike w:val="false"/>
          <w:vertAlign w:val="baseline"/>
          <w:rFonts w:ascii="Verdana" w:hAnsi="Verdana"/>
        </w:rPr>
      </w:pPr>
      <w:r>
        <w:rPr>
          <w:b w:val="true"/>
          <w:color w:val="#335E82"/>
          <w:sz w:val="16"/>
          <w:lang w:val="en-US"/>
          <w:spacing w:val="-4"/>
          <w:w w:val="100"/>
          <w:strike w:val="false"/>
          <w:vertAlign w:val="baseline"/>
          <w:rFonts w:ascii="Verdana" w:hAnsi="Verdana"/>
        </w:rPr>
        <w:t xml:space="preserve">CUT-OFF THRESHOLD AND OTHER EXCLUSIONS</w:t>
      </w:r>
    </w:p>
    <w:p>
      <w:pPr>
        <w:ind w:right="0" w:left="648" w:firstLine="0"/>
        <w:spacing w:before="72" w:after="0" w:line="240" w:lineRule="auto"/>
        <w:jc w:val="left"/>
        <w:rPr>
          <w:b w:val="true"/>
          <w:color w:val="#000000"/>
          <w:sz w:val="15"/>
          <w:lang w:val="en-US"/>
          <w:spacing w:val="0"/>
          <w:w w:val="100"/>
          <w:strike w:val="false"/>
          <w:vertAlign w:val="baseline"/>
          <w:rFonts w:ascii="Tahoma" w:hAnsi="Tahoma"/>
        </w:rPr>
      </w:pPr>
      <w:r>
        <w:rPr>
          <w:b w:val="true"/>
          <w:color w:val="#000000"/>
          <w:sz w:val="15"/>
          <w:lang w:val="en-US"/>
          <w:spacing w:val="0"/>
          <w:w w:val="100"/>
          <w:strike w:val="false"/>
          <w:vertAlign w:val="baseline"/>
          <w:rFonts w:ascii="Tahoma" w:hAnsi="Tahoma"/>
        </w:rPr>
        <w:t xml:space="preserve">The AC included agricultural holdings reaching the following threshold values:</w:t>
      </w:r>
    </w:p>
    <w:p>
      <w:pPr>
        <w:ind w:right="0" w:left="792" w:firstLine="0"/>
        <w:spacing w:before="36" w:after="0" w:line="240" w:lineRule="auto"/>
        <w:jc w:val="left"/>
        <w:tabs>
          <w:tab w:val="clear" w:pos="216"/>
          <w:tab w:val="decimal" w:pos="1008"/>
        </w:tabs>
        <w:numPr>
          <w:ilvl w:val="0"/>
          <w:numId w:val="2"/>
        </w:numPr>
        <w:rPr>
          <w:b w:val="true"/>
          <w:color w:val="#000000"/>
          <w:sz w:val="15"/>
          <w:lang w:val="en-US"/>
          <w:spacing w:val="6"/>
          <w:w w:val="100"/>
          <w:strike w:val="false"/>
          <w:vertAlign w:val="baseline"/>
          <w:rFonts w:ascii="Tahoma" w:hAnsi="Tahoma"/>
        </w:rPr>
      </w:pPr>
      <w:r>
        <w:rPr>
          <w:b w:val="true"/>
          <w:color w:val="#000000"/>
          <w:sz w:val="15"/>
          <w:lang w:val="en-US"/>
          <w:spacing w:val="6"/>
          <w:w w:val="100"/>
          <w:strike w:val="false"/>
          <w:vertAlign w:val="baseline"/>
          <w:rFonts w:ascii="Tahoma" w:hAnsi="Tahoma"/>
        </w:rPr>
        <w:t xml:space="preserve">area above 5 ha of UAA;</w:t>
      </w:r>
    </w:p>
    <w:p>
      <w:pPr>
        <w:ind w:right="0" w:left="792" w:firstLine="0"/>
        <w:spacing w:before="36" w:after="0" w:line="240" w:lineRule="auto"/>
        <w:jc w:val="left"/>
        <w:tabs>
          <w:tab w:val="clear" w:pos="216"/>
          <w:tab w:val="decimal" w:pos="1008"/>
        </w:tabs>
        <w:numPr>
          <w:ilvl w:val="0"/>
          <w:numId w:val="2"/>
        </w:numPr>
        <w:rPr>
          <w:b w:val="true"/>
          <w:color w:val="#000000"/>
          <w:sz w:val="15"/>
          <w:lang w:val="en-US"/>
          <w:spacing w:val="2"/>
          <w:w w:val="100"/>
          <w:strike w:val="false"/>
          <w:vertAlign w:val="baseline"/>
          <w:rFonts w:ascii="Tahoma" w:hAnsi="Tahoma"/>
        </w:rPr>
      </w:pPr>
      <w:r>
        <w:rPr>
          <w:b w:val="true"/>
          <w:color w:val="#000000"/>
          <w:sz w:val="15"/>
          <w:lang w:val="en-US"/>
          <w:spacing w:val="2"/>
          <w:w w:val="100"/>
          <w:strike w:val="false"/>
          <w:vertAlign w:val="baseline"/>
          <w:rFonts w:ascii="Tahoma" w:hAnsi="Tahoma"/>
        </w:rPr>
        <w:t xml:space="preserve">more than 1 ha of orchards, or 3 500 m</w:t>
      </w:r>
      <w:r>
        <w:rPr>
          <w:b w:val="true"/>
          <w:color w:val="#000000"/>
          <w:sz w:val="15"/>
          <w:lang w:val="en-US"/>
          <w:spacing w:val="2"/>
          <w:w w:val="100"/>
          <w:strike w:val="false"/>
          <w:vertAlign w:val="superscript"/>
          <w:rFonts w:ascii="Verdana" w:hAnsi="Verdana"/>
        </w:rPr>
        <w:t xml:space="preserve">2</w:t>
      </w:r>
      <w:r>
        <w:rPr>
          <w:b w:val="true"/>
          <w:color w:val="#000000"/>
          <w:sz w:val="15"/>
          <w:lang w:val="en-US"/>
          <w:spacing w:val="2"/>
          <w:w w:val="100"/>
          <w:strike w:val="false"/>
          <w:vertAlign w:val="baseline"/>
          <w:rFonts w:ascii="Tahoma" w:hAnsi="Tahoma"/>
        </w:rPr>
        <w:t xml:space="preserve"> of vineyards;</w:t>
      </w:r>
    </w:p>
    <w:p>
      <w:pPr>
        <w:ind w:right="0" w:left="792" w:firstLine="0"/>
        <w:spacing w:before="36" w:after="0" w:line="240" w:lineRule="auto"/>
        <w:jc w:val="left"/>
        <w:tabs>
          <w:tab w:val="clear" w:pos="216"/>
          <w:tab w:val="decimal" w:pos="1008"/>
        </w:tabs>
        <w:numPr>
          <w:ilvl w:val="0"/>
          <w:numId w:val="2"/>
        </w:numPr>
        <w:rPr>
          <w:b w:val="true"/>
          <w:color w:val="#000000"/>
          <w:sz w:val="15"/>
          <w:lang w:val="en-US"/>
          <w:spacing w:val="1"/>
          <w:w w:val="100"/>
          <w:strike w:val="false"/>
          <w:vertAlign w:val="baseline"/>
          <w:rFonts w:ascii="Tahoma" w:hAnsi="Tahoma"/>
        </w:rPr>
      </w:pPr>
      <w:r>
        <w:rPr>
          <w:b w:val="true"/>
          <w:color w:val="#000000"/>
          <w:sz w:val="15"/>
          <w:lang w:val="en-US"/>
          <w:spacing w:val="1"/>
          <w:w w:val="100"/>
          <w:strike w:val="false"/>
          <w:vertAlign w:val="baseline"/>
          <w:rFonts w:ascii="Tahoma" w:hAnsi="Tahoma"/>
        </w:rPr>
        <w:t xml:space="preserve">sum of area for vegetables, strawberries and flowers exceeding 2 500 m</w:t>
      </w:r>
      <w:r>
        <w:rPr>
          <w:b w:val="true"/>
          <w:color w:val="#000000"/>
          <w:sz w:val="15"/>
          <w:lang w:val="en-US"/>
          <w:spacing w:val="1"/>
          <w:w w:val="100"/>
          <w:strike w:val="false"/>
          <w:vertAlign w:val="superscript"/>
          <w:rFonts w:ascii="Verdana" w:hAnsi="Verdana"/>
        </w:rPr>
        <w:t xml:space="preserve">2</w:t>
      </w:r>
      <w:r>
        <w:rPr>
          <w:b w:val="true"/>
          <w:color w:val="#000000"/>
          <w:sz w:val="15"/>
          <w:lang w:val="en-US"/>
          <w:spacing w:val="1"/>
          <w:w w:val="100"/>
          <w:strike w:val="false"/>
          <w:vertAlign w:val="baseline"/>
          <w:rFonts w:ascii="Tahoma" w:hAnsi="Tahoma"/>
        </w:rPr>
        <w:t xml:space="preserve">;</w:t>
      </w:r>
    </w:p>
    <w:p>
      <w:pPr>
        <w:ind w:right="0" w:left="792" w:firstLine="0"/>
        <w:spacing w:before="36" w:after="0" w:line="240" w:lineRule="auto"/>
        <w:jc w:val="left"/>
        <w:tabs>
          <w:tab w:val="clear" w:pos="216"/>
          <w:tab w:val="decimal" w:pos="1008"/>
        </w:tabs>
        <w:numPr>
          <w:ilvl w:val="0"/>
          <w:numId w:val="2"/>
        </w:numPr>
        <w:rPr>
          <w:b w:val="true"/>
          <w:color w:val="#000000"/>
          <w:sz w:val="15"/>
          <w:lang w:val="en-US"/>
          <w:spacing w:val="2"/>
          <w:w w:val="100"/>
          <w:strike w:val="false"/>
          <w:vertAlign w:val="baseline"/>
          <w:rFonts w:ascii="Tahoma" w:hAnsi="Tahoma"/>
        </w:rPr>
      </w:pPr>
      <w:r>
        <w:rPr>
          <w:b w:val="true"/>
          <w:color w:val="#000000"/>
          <w:sz w:val="15"/>
          <w:lang w:val="en-US"/>
          <w:spacing w:val="2"/>
          <w:w w:val="100"/>
          <w:strike w:val="false"/>
          <w:vertAlign w:val="baseline"/>
          <w:rFonts w:ascii="Tahoma" w:hAnsi="Tahoma"/>
        </w:rPr>
        <w:t xml:space="preserve">breeding of five head of cattle, ten head of pigs, or ten head of sheep and goats; or</w:t>
      </w:r>
    </w:p>
    <w:p>
      <w:pPr>
        <w:ind w:right="0" w:left="792" w:firstLine="0"/>
        <w:spacing w:before="36" w:after="0" w:line="240" w:lineRule="auto"/>
        <w:jc w:val="left"/>
        <w:tabs>
          <w:tab w:val="clear" w:pos="216"/>
          <w:tab w:val="decimal" w:pos="1008"/>
        </w:tabs>
        <w:numPr>
          <w:ilvl w:val="0"/>
          <w:numId w:val="2"/>
        </w:numPr>
        <w:rPr>
          <w:b w:val="true"/>
          <w:color w:val="#000000"/>
          <w:sz w:val="15"/>
          <w:lang w:val="en-US"/>
          <w:spacing w:val="3"/>
          <w:w w:val="100"/>
          <w:strike w:val="false"/>
          <w:vertAlign w:val="baseline"/>
          <w:rFonts w:ascii="Tahoma" w:hAnsi="Tahoma"/>
        </w:rPr>
      </w:pPr>
      <w:r>
        <w:rPr>
          <w:b w:val="true"/>
          <w:color w:val="#000000"/>
          <w:sz w:val="15"/>
          <w:lang w:val="en-US"/>
          <w:spacing w:val="3"/>
          <w:w w:val="100"/>
          <w:strike w:val="false"/>
          <w:vertAlign w:val="baseline"/>
          <w:rFonts w:ascii="Tahoma" w:hAnsi="Tahoma"/>
        </w:rPr>
        <w:t xml:space="preserve">100 head of poultry, including ostriches.</w:t>
      </w:r>
    </w:p>
    <w:p>
      <w:pPr>
        <w:ind w:right="1080" w:left="1080" w:firstLine="-432"/>
        <w:spacing w:before="72" w:after="0" w:line="480" w:lineRule="auto"/>
        <w:jc w:val="left"/>
        <w:rPr>
          <w:b w:val="true"/>
          <w:color w:val="#000000"/>
          <w:sz w:val="15"/>
          <w:lang w:val="en-US"/>
          <w:spacing w:val="-5"/>
          <w:w w:val="100"/>
          <w:strike w:val="false"/>
          <w:vertAlign w:val="baseline"/>
          <w:rFonts w:ascii="Tahoma" w:hAnsi="Tahoma"/>
        </w:rPr>
      </w:pPr>
      <w:r>
        <w:rPr>
          <w:b w:val="true"/>
          <w:color w:val="#000000"/>
          <w:sz w:val="15"/>
          <w:lang w:val="en-US"/>
          <w:spacing w:val="-5"/>
          <w:w w:val="100"/>
          <w:strike w:val="false"/>
          <w:vertAlign w:val="baseline"/>
          <w:rFonts w:ascii="Tahoma" w:hAnsi="Tahoma"/>
        </w:rPr>
        <w:t xml:space="preserve">The threshold excludes only a small proportion of agricultural holdings, that is, less than 2 percent of UAA and livestock units. </w:t>
      </w:r>
      <w:r>
        <w:rPr>
          <w:b w:val="true"/>
          <w:color w:val="#335E82"/>
          <w:sz w:val="16"/>
          <w:lang w:val="en-US"/>
          <w:spacing w:val="0"/>
          <w:w w:val="100"/>
          <w:strike w:val="false"/>
          <w:vertAlign w:val="baseline"/>
          <w:rFonts w:ascii="Verdana" w:hAnsi="Verdana"/>
        </w:rPr>
        <w:t xml:space="preserve">METHODOLOGY</w:t>
      </w:r>
    </w:p>
    <w:p>
      <w:pPr>
        <w:ind w:right="0" w:left="648" w:firstLine="0"/>
        <w:spacing w:before="108" w:after="0" w:line="240" w:lineRule="auto"/>
        <w:jc w:val="left"/>
        <w:rPr>
          <w:b w:val="true"/>
          <w:i w:val="true"/>
          <w:color w:val="#000000"/>
          <w:sz w:val="16"/>
          <w:lang w:val="en-US"/>
          <w:spacing w:val="-9"/>
          <w:w w:val="100"/>
          <w:strike w:val="false"/>
          <w:vertAlign w:val="baseline"/>
          <w:rFonts w:ascii="Verdana" w:hAnsi="Verdana"/>
        </w:rPr>
      </w:pPr>
      <w:r>
        <w:rPr>
          <w:b w:val="true"/>
          <w:i w:val="true"/>
          <w:color w:val="#000000"/>
          <w:sz w:val="16"/>
          <w:lang w:val="en-US"/>
          <w:spacing w:val="-9"/>
          <w:w w:val="100"/>
          <w:strike w:val="false"/>
          <w:vertAlign w:val="baseline"/>
          <w:rFonts w:ascii="Verdana" w:hAnsi="Verdana"/>
        </w:rPr>
        <w:t xml:space="preserve">Methodological modality for conducting the census</w:t>
      </w:r>
    </w:p>
    <w:p>
      <w:pPr>
        <w:ind w:right="0" w:left="648" w:firstLine="0"/>
        <w:spacing w:before="36" w:after="144" w:line="240" w:lineRule="auto"/>
        <w:jc w:val="left"/>
        <w:rPr>
          <w:b w:val="true"/>
          <w:color w:val="#000000"/>
          <w:sz w:val="15"/>
          <w:lang w:val="en-US"/>
          <w:spacing w:val="1"/>
          <w:w w:val="100"/>
          <w:strike w:val="false"/>
          <w:vertAlign w:val="baseline"/>
          <w:rFonts w:ascii="Tahoma" w:hAnsi="Tahoma"/>
        </w:rPr>
      </w:pPr>
      <w:r>
        <w:rPr>
          <w:b w:val="true"/>
          <w:color w:val="#000000"/>
          <w:sz w:val="15"/>
          <w:lang w:val="en-US"/>
          <w:spacing w:val="1"/>
          <w:w w:val="100"/>
          <w:strike w:val="false"/>
          <w:vertAlign w:val="baseline"/>
          <w:rFonts w:ascii="Tahoma" w:hAnsi="Tahoma"/>
        </w:rPr>
        <w:t xml:space="preserve">The classical approach was used in the AC 2010. Some census data were collected directly from administrative registers.</w:t>
      </w:r>
    </w:p>
    <w:p>
      <w:pPr>
        <w:ind w:right="0" w:left="0" w:firstLine="0"/>
        <w:spacing w:before="144" w:after="0" w:line="240" w:lineRule="auto"/>
        <w:jc w:val="center"/>
        <w:rPr>
          <w:color w:val="#000000"/>
          <w:sz w:val="7"/>
          <w:lang w:val="en-US"/>
          <w:spacing w:val="0"/>
          <w:w w:val="95"/>
          <w:strike w:val="false"/>
          <w:vertAlign w:val="superscript"/>
          <w:rFonts w:ascii="Tahoma" w:hAnsi="Tahoma"/>
        </w:rPr>
      </w:pPr>
      <w:r>
        <w:pict>
          <v:line strokeweight="0.35pt" strokecolor="#000000" from="34.75pt,0.25pt" to="234.95pt,0.25pt" style="position:absolute;mso-position-horizontal-relative:text;mso-position-vertical-relative:text;">
            <v:stroke dashstyle="solid"/>
          </v:line>
        </w:pict>
      </w:r>
      <w:r>
        <w:rPr>
          <w:color w:val="#000000"/>
          <w:sz w:val="7"/>
          <w:lang w:val="en-US"/>
          <w:spacing w:val="0"/>
          <w:w w:val="95"/>
          <w:strike w:val="false"/>
          <w:vertAlign w:val="superscript"/>
          <w:rFonts w:ascii="Tahoma" w:hAnsi="Tahoma"/>
        </w:rPr>
        <w:t xml:space="preserve">1</w:t>
      </w:r>
      <w:r>
        <w:rPr>
          <w:color w:val="#000000"/>
          <w:sz w:val="13"/>
          <w:lang w:val="en-US"/>
          <w:spacing w:val="0"/>
          <w:w w:val="100"/>
          <w:strike w:val="false"/>
          <w:vertAlign w:val="baseline"/>
          <w:rFonts w:ascii="Arial" w:hAnsi="Arial"/>
        </w:rPr>
        <w:t xml:space="preserve"> (i) Regulation (EC) No. 1166/2008 of the European Parliament and of the Council of 19 November 2008 on farm structure surveys and the survey on agricultural produc-</w:t>
      </w:r>
      <w:r>
        <w:rPr>
          <w:color w:val="#000000"/>
          <w:sz w:val="20"/>
          <w:lang w:val="en-US"/>
          <w:spacing w:val="0"/>
          <w:w w:val="100"/>
          <w:strike w:val="false"/>
          <w:vertAlign w:val="baseline"/>
          <w:rFonts w:ascii="Arial" w:hAnsi="Arial"/>
        </w:rPr>
        <w:t xml:space="preserve">
</w:t>
        <w:br/>
      </w:r>
      <w:r>
        <w:rPr>
          <w:color w:val="#000000"/>
          <w:sz w:val="13"/>
          <w:lang w:val="en-US"/>
          <w:spacing w:val="0"/>
          <w:w w:val="100"/>
          <w:strike w:val="false"/>
          <w:vertAlign w:val="baseline"/>
          <w:rFonts w:ascii="Arial" w:hAnsi="Arial"/>
        </w:rPr>
        <w:t xml:space="preserve">tion methods and repealing Council Regulation (EEC) No. 571/88 and (ii) Commission Regulation (EC) No. 1200/2009 of 30 November 2009 implementing Regulation</w:t>
      </w:r>
    </w:p>
    <w:p>
      <w:pPr>
        <w:ind w:right="792" w:left="792" w:firstLine="0"/>
        <w:spacing w:before="0" w:after="0" w:line="240" w:lineRule="auto"/>
        <w:jc w:val="left"/>
        <w:rPr>
          <w:color w:val="#000000"/>
          <w:sz w:val="13"/>
          <w:lang w:val="en-US"/>
          <w:spacing w:val="-2"/>
          <w:w w:val="100"/>
          <w:strike w:val="false"/>
          <w:vertAlign w:val="baseline"/>
          <w:rFonts w:ascii="Arial" w:hAnsi="Arial"/>
        </w:rPr>
      </w:pPr>
      <w:r>
        <w:rPr>
          <w:color w:val="#000000"/>
          <w:sz w:val="13"/>
          <w:lang w:val="en-US"/>
          <w:spacing w:val="-2"/>
          <w:w w:val="100"/>
          <w:strike w:val="false"/>
          <w:vertAlign w:val="baseline"/>
          <w:rFonts w:ascii="Arial" w:hAnsi="Arial"/>
        </w:rPr>
        <w:t xml:space="preserve">(EC) No. 1166/2008 of the European Parliament and of the Council on farm structure surveys and the survey on agricultural production methods, as regards livestock unit </w:t>
      </w:r>
      <w:r>
        <w:rPr>
          <w:color w:val="#000000"/>
          <w:sz w:val="13"/>
          <w:lang w:val="en-US"/>
          <w:spacing w:val="0"/>
          <w:w w:val="100"/>
          <w:strike w:val="false"/>
          <w:vertAlign w:val="baseline"/>
          <w:rFonts w:ascii="Arial" w:hAnsi="Arial"/>
        </w:rPr>
        <w:t xml:space="preserve">coefficients and definitions of the characteristics.</w:t>
      </w:r>
    </w:p>
    <w:sectPr>
      <w:pgSz w:w="12240" w:h="15840" w:orient="portrait"/>
      <w:type w:val="nextPage"/>
      <w:textDirection w:val="lrTb"/>
      <w:pgMar w:bottom="282" w:top="40" w:right="499" w:left="441" w:header="720" w:footer="720"/>
      <w:titlePg w:val="false"/>
    </w:sectPr>
  </w:body>
</w:document>
</file>

<file path=word/fontTable.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Arial">
    <w:charset w:val="00"/>
    <w:pitch w:val="variable"/>
    <w:family w:val="swiss"/>
    <w:panose1 w:val="02020603050405020304"/>
  </w:font>
  <w:font w:name="Verdana">
    <w:charset w:val="00"/>
    <w:pitch w:val="variable"/>
    <w:family w:val="swiss"/>
    <w:panose1 w:val="02020603050405020304"/>
  </w:font>
  <w:font w:name="Tahoma">
    <w:charset w:val="00"/>
    <w:pitch w:val="variable"/>
    <w:family w:val="swiss"/>
    <w:panose1 w:val="02020603050405020304"/>
  </w:font>
  <w:font w:name="Symbol">
    <w:pitch w:val="default"/>
    <w:family w:val="auto"/>
  </w:font>
</w:fonts>
</file>

<file path=word/numbering.xml><?xml version="1.0" encoding="utf-8"?>
<w:numbering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abstractNum w:abstractNumId="1">
    <w:lvl w:ilvl="0">
      <w:numFmt w:val="bullet"/>
      <w:lvlText w:val=""/>
      <w:start w:val="1"/>
      <w:lvlJc w:val="left"/>
      <w:pPr>
        <w:ind w:left="720"/>
        <w:tabs>
          <w:tab w:val="decimal" w:pos="216"/>
        </w:tabs>
      </w:pPr>
      <w:rPr>
        <w:b w:val="true"/>
        <w:color w:val="#000000"/>
        <w:sz w:val="15"/>
        <w:lang w:val="en-US"/>
        <w:spacing w:val="0"/>
        <w:w w:val="100"/>
        <w:strike w:val="false"/>
        <w:vertAlign w:val="baseline"/>
        <w:rFonts w:ascii="Symbol" w:hAnsi="Symbol"/>
      </w:rPr>
    </w:lvl>
  </w:abstract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compat>
    <w:useFELayout/>
  </w:compat>
</w:settings>
</file>

<file path=word/styles.xml><?xml version="1.0" encoding="utf-8"?>
<w:style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docDefaults>
    <w:rPrDefault>
      <w:rPr>
        <w:rFonts w:asciiTheme="minorHAnsi" w:eastAsiaTheme="minorHAnsi" w:hAnsiTheme="minorHAnsi" w:cstheme="minorBidi"/>
        <w:sz w:val="22"/>
        <w:szCs w:val="22"/>
        <w:lang w:val="en-US" w:eastAsia="en-US" w:bidi="ar-SA"/>
      </w:rPr>
    </w:rPrDefault>
    <w:pPrDefault/>
  </w:docDefaults>
</w:styles>
</file>

<file path=word/_rels/document.xml.rels>&#65279;<?xml version="1.0" encoding="utf-8"?><Relationships xmlns="http://schemas.openxmlformats.org/package/2006/relationships"><Relationship Type="http://schemas.openxmlformats.org/officeDocument/2006/relationships/numbering" Target="/word/numbering.xml" Id="drId3" /><Relationship Type="http://schemas.openxmlformats.org/officeDocument/2006/relationships/settings" Target="/word/settings.xml" Id="drId1" /><Relationship Type="http://schemas.openxmlformats.org/officeDocument/2006/relationships/styles" Target="/word/styles.xml" Id="drId0" /><Relationship Type="http://schemas.openxmlformats.org/wordprocessingml/2006/fontTable" Target="/word/fontTable.xml" Id="drId2" /></Relationships>
</file>