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4735" w:rsidRDefault="00434735" w:rsidP="001F245B">
      <w:pPr>
        <w:spacing w:after="0"/>
        <w:ind w:firstLine="708"/>
        <w:jc w:val="center"/>
        <w:rPr>
          <w:b/>
          <w:sz w:val="32"/>
          <w:szCs w:val="32"/>
        </w:rPr>
      </w:pPr>
      <w:r w:rsidRPr="0065282A">
        <w:rPr>
          <w:b/>
          <w:sz w:val="32"/>
          <w:szCs w:val="32"/>
        </w:rPr>
        <w:t xml:space="preserve">ASSURANCE INDICIELLE BETAIL AU SENEGAL: </w:t>
      </w:r>
    </w:p>
    <w:p w:rsidR="00434735" w:rsidRDefault="00414766" w:rsidP="001F245B">
      <w:pPr>
        <w:spacing w:after="0"/>
        <w:ind w:firstLine="708"/>
        <w:jc w:val="center"/>
        <w:rPr>
          <w:b/>
          <w:sz w:val="32"/>
          <w:szCs w:val="32"/>
        </w:rPr>
      </w:pPr>
      <w:r>
        <w:rPr>
          <w:b/>
          <w:sz w:val="32"/>
          <w:szCs w:val="32"/>
        </w:rPr>
        <w:t>Perception</w:t>
      </w:r>
      <w:r w:rsidR="00434735">
        <w:rPr>
          <w:b/>
          <w:sz w:val="32"/>
          <w:szCs w:val="32"/>
        </w:rPr>
        <w:t xml:space="preserve"> et Consentement</w:t>
      </w:r>
      <w:r w:rsidR="00886632">
        <w:rPr>
          <w:b/>
          <w:sz w:val="32"/>
          <w:szCs w:val="32"/>
        </w:rPr>
        <w:t xml:space="preserve"> </w:t>
      </w:r>
      <w:r w:rsidR="00434735">
        <w:rPr>
          <w:b/>
          <w:sz w:val="32"/>
          <w:szCs w:val="32"/>
        </w:rPr>
        <w:t>à</w:t>
      </w:r>
      <w:r w:rsidR="00434735" w:rsidRPr="0065282A">
        <w:rPr>
          <w:b/>
          <w:sz w:val="32"/>
          <w:szCs w:val="32"/>
        </w:rPr>
        <w:t xml:space="preserve"> P</w:t>
      </w:r>
      <w:r w:rsidR="00434735">
        <w:rPr>
          <w:b/>
          <w:sz w:val="32"/>
          <w:szCs w:val="32"/>
        </w:rPr>
        <w:t>ayer</w:t>
      </w:r>
      <w:r w:rsidR="00886632">
        <w:rPr>
          <w:b/>
          <w:sz w:val="32"/>
          <w:szCs w:val="32"/>
        </w:rPr>
        <w:t xml:space="preserve"> </w:t>
      </w:r>
      <w:r w:rsidR="00434735">
        <w:rPr>
          <w:b/>
          <w:sz w:val="32"/>
          <w:szCs w:val="32"/>
        </w:rPr>
        <w:t>des</w:t>
      </w:r>
      <w:r w:rsidR="00886632">
        <w:rPr>
          <w:b/>
          <w:sz w:val="32"/>
          <w:szCs w:val="32"/>
        </w:rPr>
        <w:t xml:space="preserve"> </w:t>
      </w:r>
      <w:r w:rsidR="00434735">
        <w:rPr>
          <w:b/>
          <w:sz w:val="32"/>
          <w:szCs w:val="32"/>
        </w:rPr>
        <w:t>éleveurs</w:t>
      </w:r>
    </w:p>
    <w:p w:rsidR="00414766" w:rsidRPr="0065282A" w:rsidRDefault="00414766" w:rsidP="001F245B">
      <w:pPr>
        <w:spacing w:after="0"/>
        <w:ind w:firstLine="708"/>
        <w:jc w:val="center"/>
        <w:rPr>
          <w:b/>
          <w:sz w:val="32"/>
          <w:szCs w:val="32"/>
        </w:rPr>
      </w:pPr>
      <w:r>
        <w:rPr>
          <w:b/>
          <w:sz w:val="32"/>
          <w:szCs w:val="32"/>
        </w:rPr>
        <w:t>Notes méthodologiques </w:t>
      </w:r>
    </w:p>
    <w:p w:rsidR="00434735" w:rsidRPr="0059761F" w:rsidRDefault="00434735" w:rsidP="00434735">
      <w:pPr>
        <w:pStyle w:val="Heading1"/>
      </w:pPr>
      <w:r w:rsidRPr="0059761F">
        <w:t>Justification</w:t>
      </w:r>
      <w:r>
        <w:t xml:space="preserve"> de l’étude</w:t>
      </w:r>
    </w:p>
    <w:p w:rsidR="00434735" w:rsidRDefault="00434735" w:rsidP="00FD09D1">
      <w:pPr>
        <w:spacing w:line="276" w:lineRule="auto"/>
        <w:jc w:val="both"/>
      </w:pPr>
      <w:r>
        <w:t xml:space="preserve">Le programme BRACED pour la résilience a organisé le 08 Mai dernier en collaboration avec la CNAAS un atelier de réflexion et de partage sur l’assurance indicielle bétail au Sénégal. Les résultats ont </w:t>
      </w:r>
      <w:r w:rsidR="004F5BFD">
        <w:t xml:space="preserve">fait état d’une nécessité d’analyser les attentes des éleveurs vis-à-vis de l’assurance indicielle bétail, leur perception et connaissances de l’assurance en général, ainsi que leur consentement à payer pour l’avoir. </w:t>
      </w:r>
      <w:r>
        <w:t xml:space="preserve">En effet les résultats </w:t>
      </w:r>
      <w:r w:rsidR="009B37CF">
        <w:t xml:space="preserve">de l’atelier </w:t>
      </w:r>
      <w:r>
        <w:t xml:space="preserve">mettent en évidence la nécessité de mettre en place une stratégie de communication efficace pour pouvoir prochainement convaincre les éleveurs d’acheter l’assurance indicielle bétail car ces derniers ne connaissent pas du tout ce produit et n’ont pour la plupart aucune culture de l’assurance en générale. Afin de parvenir à  mieux informer la préparation des modules de sensibilisation future sur l’assurance indicielle bétail, une analyse de la perception des éleveurs sur le principe de l’assurance ainsi que leur potentielle motivation et consentement pour l’acheter est primordiale. </w:t>
      </w:r>
      <w:r w:rsidR="009B37CF">
        <w:t xml:space="preserve">Cela permettrait à la CNAAS d’avoir une meilleure lisibilité de l’assurance pour le secteur de l’élevage pastoral et mieux informer ses futurs projets pilotes. L’étude ne remplace pas toutefois une étude de faisabilité mais pourrait permettre de </w:t>
      </w:r>
      <w:r w:rsidR="003075BE">
        <w:t xml:space="preserve">la </w:t>
      </w:r>
      <w:r w:rsidR="009B37CF">
        <w:t xml:space="preserve">compléter. </w:t>
      </w:r>
      <w:r>
        <w:t>Une telle étude aura l’avantage de permettre</w:t>
      </w:r>
      <w:r w:rsidR="009B37CF">
        <w:t> :</w:t>
      </w:r>
    </w:p>
    <w:p w:rsidR="00434735" w:rsidRDefault="00992460" w:rsidP="00FD09D1">
      <w:pPr>
        <w:pStyle w:val="ListParagraph"/>
        <w:numPr>
          <w:ilvl w:val="0"/>
          <w:numId w:val="1"/>
        </w:numPr>
        <w:spacing w:line="276" w:lineRule="auto"/>
        <w:jc w:val="both"/>
      </w:pPr>
      <w:r>
        <w:t xml:space="preserve">un ciblage des catégories d’éleveurs </w:t>
      </w:r>
      <w:r w:rsidR="00434735">
        <w:t>qui seraient plus intéressés que les autres à ce type d’assurance ;</w:t>
      </w:r>
    </w:p>
    <w:p w:rsidR="00434735" w:rsidRDefault="00434735" w:rsidP="00FD09D1">
      <w:pPr>
        <w:pStyle w:val="ListParagraph"/>
        <w:numPr>
          <w:ilvl w:val="0"/>
          <w:numId w:val="1"/>
        </w:numPr>
        <w:spacing w:line="276" w:lineRule="auto"/>
        <w:jc w:val="both"/>
      </w:pPr>
      <w:r>
        <w:t xml:space="preserve">une prise en compte des réponses des éleveurs qui sont à la base dans le processus de développement du produit pour l’adapter à leurs situations </w:t>
      </w:r>
      <w:r w:rsidR="00992460">
        <w:t>socio-économiques et à leurs aspirations communes</w:t>
      </w:r>
      <w:r>
        <w:t> ;</w:t>
      </w:r>
    </w:p>
    <w:p w:rsidR="00434735" w:rsidRDefault="00434735" w:rsidP="00FD09D1">
      <w:pPr>
        <w:pStyle w:val="ListParagraph"/>
        <w:numPr>
          <w:ilvl w:val="0"/>
          <w:numId w:val="1"/>
        </w:numPr>
        <w:spacing w:line="276" w:lineRule="auto"/>
        <w:jc w:val="both"/>
      </w:pPr>
      <w:r>
        <w:t>une identification des pistes de distribution solides et simples, qui garantirait la confiance des éleveurs et leur acceptation d’acheter le produit ;</w:t>
      </w:r>
    </w:p>
    <w:p w:rsidR="00434735" w:rsidRDefault="00434735" w:rsidP="00FD09D1">
      <w:pPr>
        <w:pStyle w:val="ListParagraph"/>
        <w:numPr>
          <w:ilvl w:val="0"/>
          <w:numId w:val="1"/>
        </w:numPr>
        <w:spacing w:line="276" w:lineRule="auto"/>
        <w:jc w:val="both"/>
      </w:pPr>
      <w:r>
        <w:t>une information de la préparation des modules de sensibilisation qui serviront prochainement d’outil de communication pour convaincre les éleveurs à acheter l’assurance indicielle bétail.</w:t>
      </w:r>
    </w:p>
    <w:p w:rsidR="00434735" w:rsidRPr="00697C59" w:rsidRDefault="00434735" w:rsidP="00434735">
      <w:pPr>
        <w:pStyle w:val="Heading1"/>
      </w:pPr>
      <w:r w:rsidRPr="00697C59">
        <w:t>Nature et contenu de l’étude</w:t>
      </w:r>
    </w:p>
    <w:p w:rsidR="00434735" w:rsidRDefault="00434735" w:rsidP="000D2B6B">
      <w:pPr>
        <w:spacing w:line="276" w:lineRule="auto"/>
        <w:jc w:val="both"/>
      </w:pPr>
      <w:r>
        <w:t xml:space="preserve">L’étude est une analyse descriptive </w:t>
      </w:r>
      <w:r w:rsidR="00163CE8">
        <w:t>qui a pour objet d’effectuer la typologie</w:t>
      </w:r>
      <w:r>
        <w:t xml:space="preserve"> des éleveurs </w:t>
      </w:r>
      <w:r w:rsidR="00163CE8">
        <w:t>en se basant sur la manière dont ils perçoivent</w:t>
      </w:r>
      <w:r>
        <w:t xml:space="preserve"> l’assurance indicielle bétail. </w:t>
      </w:r>
      <w:r w:rsidR="00D44CF1">
        <w:t>Elle</w:t>
      </w:r>
      <w:r w:rsidR="00163CE8">
        <w:t xml:space="preserve"> serarendue</w:t>
      </w:r>
      <w:r w:rsidR="00D44CF1">
        <w:t xml:space="preserve"> s</w:t>
      </w:r>
      <w:r>
        <w:t>ous forme de rapport d’étude coproduit par IPAR, la CNAAS et les organisations d’éleveurs. L’analyse combinera à la fois des méthodes quantitatives et des méthodes qualitatives en se basant sur des résultats d’enquêtes</w:t>
      </w:r>
      <w:r w:rsidR="00163CE8">
        <w:t xml:space="preserve"> et </w:t>
      </w:r>
      <w:r>
        <w:t xml:space="preserve">sur des interviews de personnes clés. Les informations collectées seront analysées pour avoir un rapport final qui va informer sur l’avis </w:t>
      </w:r>
      <w:r w:rsidR="00D50C7E">
        <w:t xml:space="preserve">et les attentes </w:t>
      </w:r>
      <w:r>
        <w:t>des éleve</w:t>
      </w:r>
      <w:r w:rsidR="00D50C7E">
        <w:t>urs vis-à-vis de</w:t>
      </w:r>
      <w:r>
        <w:t xml:space="preserve"> l’assurance</w:t>
      </w:r>
      <w:r w:rsidR="00D50C7E">
        <w:t xml:space="preserve"> bétail</w:t>
      </w:r>
      <w:r>
        <w:t>, sur leur consentement à payer pour l’avoir, sur la manière dont ils pensent qu’elle (l’assurance) devrait leur être proposé.</w:t>
      </w:r>
    </w:p>
    <w:p w:rsidR="00434735" w:rsidRDefault="00434735" w:rsidP="00434735">
      <w:pPr>
        <w:pStyle w:val="Heading1"/>
      </w:pPr>
      <w:r>
        <w:lastRenderedPageBreak/>
        <w:t>Objectif</w:t>
      </w:r>
      <w:r w:rsidR="00EF03D8">
        <w:t> : Proposition d’indicateurs clés à renseigner</w:t>
      </w:r>
    </w:p>
    <w:p w:rsidR="0076661E" w:rsidRDefault="00434735" w:rsidP="000D2B6B">
      <w:pPr>
        <w:jc w:val="both"/>
      </w:pPr>
      <w:r w:rsidRPr="00697C59">
        <w:t>Cette feuille de route met en relation les résultats de l’atelier et les prochaines étapes du dialogue sur l’assurance indicielle bétail au Sénégal. Plus précisément, la nécessité de faire un bilan des connaissances, perception, motivations et intérêt des éleveurs pour l’assurance découle directement des résultats partagés par l’ensemble des acteurs présents lors de l’atelier. De plus, ce bilan permettra au moment du lancement de l’étude de faisabilité de la CNAAS, de disposer d’une analyse objective de la situation de référence des éleveurs afin de mieux cerner les actions requises pour les intéresser. Enfin, en ce qui concerne les résultats liés à la mobilité du bétail et la manière dont elle devrait être prise en compte, c’est un aspect important qui pourra être intégré dans les TDR de l’étude de faisabilité qui sera lancée prochainement</w:t>
      </w:r>
      <w:r w:rsidR="00037EC5">
        <w:t>.</w:t>
      </w:r>
    </w:p>
    <w:p w:rsidR="00037EC5" w:rsidRDefault="00037EC5" w:rsidP="00434735">
      <w:r>
        <w:t>Liste des indicateurs de résultats :</w:t>
      </w:r>
    </w:p>
    <w:p w:rsidR="00EF03D8" w:rsidRDefault="00EF03D8" w:rsidP="00EF03D8">
      <w:pPr>
        <w:pStyle w:val="Caption"/>
        <w:keepNext/>
      </w:pPr>
      <w:r>
        <w:t xml:space="preserve">Tableau </w:t>
      </w:r>
      <w:r w:rsidR="00636000">
        <w:rPr>
          <w:noProof/>
        </w:rPr>
        <w:fldChar w:fldCharType="begin"/>
      </w:r>
      <w:r w:rsidR="00B028FF">
        <w:rPr>
          <w:noProof/>
        </w:rPr>
        <w:instrText xml:space="preserve"> SEQ Tableau \* ARABIC </w:instrText>
      </w:r>
      <w:r w:rsidR="00636000">
        <w:rPr>
          <w:noProof/>
        </w:rPr>
        <w:fldChar w:fldCharType="separate"/>
      </w:r>
      <w:r w:rsidR="00726C87">
        <w:rPr>
          <w:noProof/>
        </w:rPr>
        <w:t>1</w:t>
      </w:r>
      <w:r w:rsidR="00636000">
        <w:rPr>
          <w:noProof/>
        </w:rPr>
        <w:fldChar w:fldCharType="end"/>
      </w:r>
      <w:r>
        <w:t>: Proposition d'indicateurs clés à renseigner</w:t>
      </w:r>
    </w:p>
    <w:tbl>
      <w:tblPr>
        <w:tblStyle w:val="TableGrid"/>
        <w:tblW w:w="0" w:type="auto"/>
        <w:tblLook w:val="04A0"/>
      </w:tblPr>
      <w:tblGrid>
        <w:gridCol w:w="4531"/>
        <w:gridCol w:w="4531"/>
      </w:tblGrid>
      <w:tr w:rsidR="00097FD2" w:rsidTr="00CA61A4">
        <w:tc>
          <w:tcPr>
            <w:tcW w:w="4531" w:type="dxa"/>
            <w:vMerge w:val="restart"/>
          </w:tcPr>
          <w:p w:rsidR="00097FD2" w:rsidRDefault="00097FD2" w:rsidP="00CA61A4">
            <w:r>
              <w:t>Connaissance de l’assurance</w:t>
            </w:r>
          </w:p>
        </w:tc>
        <w:tc>
          <w:tcPr>
            <w:tcW w:w="4531" w:type="dxa"/>
          </w:tcPr>
          <w:p w:rsidR="00097FD2" w:rsidRPr="00833C7F" w:rsidRDefault="00097FD2" w:rsidP="00AE3CF5">
            <w:r w:rsidRPr="00833C7F">
              <w:t>% des éleveurs qui ont au moins une fois entendu parler de l’assurance (décomposé par type d’assurance par genre classe d’âge et zone)</w:t>
            </w:r>
          </w:p>
        </w:tc>
      </w:tr>
      <w:tr w:rsidR="00097FD2" w:rsidTr="00CA61A4">
        <w:tc>
          <w:tcPr>
            <w:tcW w:w="4531" w:type="dxa"/>
            <w:vMerge/>
          </w:tcPr>
          <w:p w:rsidR="00097FD2" w:rsidRDefault="00097FD2" w:rsidP="00CA61A4"/>
        </w:tc>
        <w:tc>
          <w:tcPr>
            <w:tcW w:w="4531" w:type="dxa"/>
          </w:tcPr>
          <w:p w:rsidR="00097FD2" w:rsidRPr="00833C7F" w:rsidRDefault="00097FD2" w:rsidP="00AE3CF5">
            <w:r w:rsidRPr="00833C7F">
              <w:t>% des éleveurs qui ont au moins une fois acheté une quelconque forme d’assurance (décomposé par type d’assurance par genre par âge et par zone).</w:t>
            </w:r>
          </w:p>
        </w:tc>
      </w:tr>
      <w:tr w:rsidR="00CA61A4" w:rsidTr="00CA61A4">
        <w:tc>
          <w:tcPr>
            <w:tcW w:w="4531" w:type="dxa"/>
          </w:tcPr>
          <w:p w:rsidR="00CA61A4" w:rsidRDefault="00CA61A4" w:rsidP="00CA61A4">
            <w:r>
              <w:t>Perception de l’</w:t>
            </w:r>
            <w:r w:rsidR="00AE3CF5">
              <w:t>utilité de l’</w:t>
            </w:r>
            <w:r>
              <w:t>assurance</w:t>
            </w:r>
            <w:r w:rsidR="00AE3CF5">
              <w:t xml:space="preserve"> (indicielle) bétail en termes de </w:t>
            </w:r>
            <w:r w:rsidR="00AE3CF5" w:rsidRPr="00AE3CF5">
              <w:rPr>
                <w:b/>
                <w:u w:val="single"/>
              </w:rPr>
              <w:t>risques assurable</w:t>
            </w:r>
          </w:p>
        </w:tc>
        <w:tc>
          <w:tcPr>
            <w:tcW w:w="4531" w:type="dxa"/>
          </w:tcPr>
          <w:p w:rsidR="00CA61A4" w:rsidRPr="00E7769B" w:rsidRDefault="00AE3CF5" w:rsidP="00AE3CF5">
            <w:r>
              <w:t>Nombre de risques que les éleveurs sont prêts à payer pour assurer (à décomposer par type de risques (climatiques ou pas))</w:t>
            </w:r>
          </w:p>
        </w:tc>
      </w:tr>
      <w:tr w:rsidR="00CA61A4" w:rsidTr="00CA61A4">
        <w:tc>
          <w:tcPr>
            <w:tcW w:w="4531" w:type="dxa"/>
          </w:tcPr>
          <w:p w:rsidR="00CA61A4" w:rsidRDefault="00B617A9">
            <w:r>
              <w:t>Attentes des éleveurs vis-à-vis de l’assurance bétail l</w:t>
            </w:r>
            <w:r w:rsidR="00AE3CF5">
              <w:t xml:space="preserve">’assurance (indicielle) bétail en termes </w:t>
            </w:r>
            <w:r w:rsidR="00AE3CF5" w:rsidRPr="00AE3CF5">
              <w:rPr>
                <w:b/>
                <w:u w:val="single"/>
              </w:rPr>
              <w:t>d’avantage financier</w:t>
            </w:r>
            <w:r w:rsidR="00AE3CF5">
              <w:rPr>
                <w:b/>
                <w:u w:val="single"/>
              </w:rPr>
              <w:t xml:space="preserve"> et de promesse de remboursement</w:t>
            </w:r>
          </w:p>
        </w:tc>
        <w:tc>
          <w:tcPr>
            <w:tcW w:w="4531" w:type="dxa"/>
          </w:tcPr>
          <w:p w:rsidR="00CA61A4" w:rsidRDefault="002152BC" w:rsidP="00AE3CF5">
            <w:r>
              <w:t xml:space="preserve">Demander aux producteurs de lister jusqu’à 5 principales attentes qu’ils ont vis-à-vis de l’assurance. </w:t>
            </w:r>
          </w:p>
        </w:tc>
      </w:tr>
      <w:tr w:rsidR="00CA61A4" w:rsidTr="00CA61A4">
        <w:tc>
          <w:tcPr>
            <w:tcW w:w="4531" w:type="dxa"/>
          </w:tcPr>
          <w:p w:rsidR="00CA61A4" w:rsidRDefault="00CA61A4" w:rsidP="00434735">
            <w:r>
              <w:t xml:space="preserve">Consentement </w:t>
            </w:r>
            <w:r w:rsidR="00992460">
              <w:t xml:space="preserve">des éleveurs </w:t>
            </w:r>
            <w:r>
              <w:t>à payer pour acheter l’assurance</w:t>
            </w:r>
            <w:r w:rsidR="00FF1D4F">
              <w:t xml:space="preserve"> indicielle bétail</w:t>
            </w:r>
          </w:p>
        </w:tc>
        <w:tc>
          <w:tcPr>
            <w:tcW w:w="4531" w:type="dxa"/>
          </w:tcPr>
          <w:p w:rsidR="002152BC" w:rsidRDefault="002152BC" w:rsidP="00AE3CF5">
            <w:r>
              <w:t>% d’éleveurs qui sont prêts à payer pour avoir une assurance indicielle bétail à décomposer selon :</w:t>
            </w:r>
          </w:p>
          <w:p w:rsidR="002152BC" w:rsidRDefault="002152BC" w:rsidP="002152BC">
            <w:pPr>
              <w:pStyle w:val="ListParagraph"/>
              <w:numPr>
                <w:ilvl w:val="0"/>
                <w:numId w:val="1"/>
              </w:numPr>
            </w:pPr>
            <w:r>
              <w:t>le montant qu’ils sont prêts à payer</w:t>
            </w:r>
          </w:p>
          <w:p w:rsidR="002152BC" w:rsidRDefault="002152BC" w:rsidP="002152BC">
            <w:pPr>
              <w:pStyle w:val="ListParagraph"/>
              <w:numPr>
                <w:ilvl w:val="0"/>
                <w:numId w:val="1"/>
              </w:numPr>
            </w:pPr>
            <w:r>
              <w:t>les types d’animaux qu’ils veulent assurer (bovins, ovins ou caprins)</w:t>
            </w:r>
          </w:p>
          <w:p w:rsidR="002152BC" w:rsidRDefault="00FF1D4F" w:rsidP="002152BC">
            <w:pPr>
              <w:pStyle w:val="ListParagraph"/>
              <w:numPr>
                <w:ilvl w:val="0"/>
                <w:numId w:val="1"/>
              </w:numPr>
            </w:pPr>
            <w:r>
              <w:t xml:space="preserve">le type d’assurance qu’ils veulent </w:t>
            </w:r>
          </w:p>
          <w:p w:rsidR="00CA61A4" w:rsidRDefault="00CA61A4" w:rsidP="00434735"/>
        </w:tc>
      </w:tr>
      <w:tr w:rsidR="00CA61A4" w:rsidTr="00CA61A4">
        <w:tc>
          <w:tcPr>
            <w:tcW w:w="4531" w:type="dxa"/>
          </w:tcPr>
          <w:p w:rsidR="00CA61A4" w:rsidRDefault="00992460" w:rsidP="00992460">
            <w:r>
              <w:t>Préférence des éleveurs en termes de m</w:t>
            </w:r>
            <w:r w:rsidR="00FF1D4F">
              <w:t>ode de communication</w:t>
            </w:r>
            <w:r>
              <w:t>/sensibilisation</w:t>
            </w:r>
          </w:p>
        </w:tc>
        <w:tc>
          <w:tcPr>
            <w:tcW w:w="4531" w:type="dxa"/>
          </w:tcPr>
          <w:p w:rsidR="00CA61A4" w:rsidRDefault="00FF1D4F" w:rsidP="00FF1D4F">
            <w:pPr>
              <w:pStyle w:val="ListParagraph"/>
              <w:numPr>
                <w:ilvl w:val="0"/>
                <w:numId w:val="1"/>
              </w:numPr>
            </w:pPr>
            <w:r>
              <w:t>Communication direct avec le représentant local de l’assurance.</w:t>
            </w:r>
          </w:p>
          <w:p w:rsidR="00FF1D4F" w:rsidRDefault="00FF1D4F" w:rsidP="00FF1D4F">
            <w:pPr>
              <w:pStyle w:val="ListParagraph"/>
              <w:numPr>
                <w:ilvl w:val="0"/>
                <w:numId w:val="1"/>
              </w:numPr>
            </w:pPr>
            <w:r>
              <w:t>Communi</w:t>
            </w:r>
            <w:r w:rsidR="00992460">
              <w:t>cation par téléphone (sms)</w:t>
            </w:r>
          </w:p>
          <w:p w:rsidR="00FF1D4F" w:rsidRDefault="00992460" w:rsidP="00992460">
            <w:pPr>
              <w:pStyle w:val="ListParagraph"/>
              <w:numPr>
                <w:ilvl w:val="0"/>
                <w:numId w:val="1"/>
              </w:numPr>
            </w:pPr>
            <w:r>
              <w:t>Communication à travers les représentants de réseaux (associations d’éleveurs, chef de village etc.).</w:t>
            </w:r>
          </w:p>
          <w:p w:rsidR="00992460" w:rsidRDefault="00992460" w:rsidP="00992460">
            <w:pPr>
              <w:pStyle w:val="ListParagraph"/>
              <w:numPr>
                <w:ilvl w:val="0"/>
                <w:numId w:val="1"/>
              </w:numPr>
            </w:pPr>
            <w:r>
              <w:t>Sensibilisation via des radios communautaires</w:t>
            </w:r>
          </w:p>
          <w:p w:rsidR="00992460" w:rsidRDefault="00992460" w:rsidP="00992460">
            <w:pPr>
              <w:pStyle w:val="ListParagraph"/>
              <w:numPr>
                <w:ilvl w:val="0"/>
                <w:numId w:val="1"/>
              </w:numPr>
            </w:pPr>
            <w:r>
              <w:t xml:space="preserve">Via des posters ou affiches </w:t>
            </w:r>
            <w:r>
              <w:lastRenderedPageBreak/>
              <w:t>(communication imagée).</w:t>
            </w:r>
          </w:p>
        </w:tc>
      </w:tr>
    </w:tbl>
    <w:p w:rsidR="00037EC5" w:rsidRDefault="00037EC5" w:rsidP="00992460"/>
    <w:p w:rsidR="00FD09D1" w:rsidRDefault="00FD09D1" w:rsidP="000D2B6B">
      <w:pPr>
        <w:pStyle w:val="Heading1"/>
        <w:rPr>
          <w:rFonts w:eastAsia="Calibri"/>
        </w:rPr>
      </w:pPr>
      <w:r w:rsidRPr="00E513FA">
        <w:rPr>
          <w:rFonts w:eastAsia="Calibri"/>
        </w:rPr>
        <w:t>Echantillonnage et Plan de sondage de l’enquête</w:t>
      </w:r>
    </w:p>
    <w:p w:rsidR="00FD09D1" w:rsidRPr="00E513FA" w:rsidRDefault="00FD09D1" w:rsidP="000D2B6B">
      <w:pPr>
        <w:pStyle w:val="Heading2"/>
        <w:numPr>
          <w:ilvl w:val="0"/>
          <w:numId w:val="5"/>
        </w:numPr>
        <w:rPr>
          <w:rFonts w:eastAsia="Calibri"/>
        </w:rPr>
      </w:pPr>
      <w:r w:rsidRPr="00E513FA">
        <w:rPr>
          <w:rFonts w:eastAsia="Calibri"/>
        </w:rPr>
        <w:t>Taille de l’échantillon</w:t>
      </w:r>
    </w:p>
    <w:p w:rsidR="00FD09D1" w:rsidRPr="00E513FA" w:rsidRDefault="00FD09D1" w:rsidP="006950A1">
      <w:pPr>
        <w:jc w:val="both"/>
      </w:pPr>
      <w:r w:rsidRPr="00E513FA">
        <w:t>De façon générale, pour un sondage la taille minimale se détermine avec la formule ci-dessous :</w:t>
      </w:r>
    </w:p>
    <w:p w:rsidR="00FD09D1" w:rsidRPr="00E513FA" w:rsidRDefault="00636000" w:rsidP="00FD09D1">
      <m:oMathPara>
        <m:oMath>
          <m:sSub>
            <m:sSubPr>
              <m:ctrlPr>
                <w:rPr>
                  <w:rFonts w:ascii="Cambria Math" w:hAnsi="Cambria Math"/>
                  <w:i/>
                </w:rPr>
              </m:ctrlPr>
            </m:sSubPr>
            <m:e>
              <m:r>
                <w:rPr>
                  <w:rFonts w:ascii="Cambria Math" w:hAnsi="Cambria Math"/>
                </w:rPr>
                <m:t>n</m:t>
              </m:r>
            </m:e>
            <m:sub>
              <m:r>
                <w:rPr>
                  <w:rFonts w:ascii="Cambria Math" w:hAnsi="Cambria Math"/>
                </w:rPr>
                <m:t>1</m:t>
              </m:r>
            </m:sub>
          </m:sSub>
          <m:r>
            <m:rPr>
              <m:sty m:val="p"/>
            </m:rPr>
            <w:rPr>
              <w:rFonts w:ascii="Cambria Math" w:hAnsi="Cambria Math"/>
            </w:rPr>
            <m:t>=</m:t>
          </m:r>
          <m:f>
            <m:fPr>
              <m:ctrlPr>
                <w:rPr>
                  <w:rFonts w:ascii="Cambria Math" w:hAnsi="Cambria Math"/>
                </w:rPr>
              </m:ctrlPr>
            </m:fPr>
            <m:num>
              <m:r>
                <w:rPr>
                  <w:rFonts w:ascii="Cambria Math" w:hAnsi="Cambria Math"/>
                </w:rPr>
                <m:t>p</m:t>
              </m:r>
              <m:d>
                <m:dPr>
                  <m:ctrlPr>
                    <w:rPr>
                      <w:rFonts w:ascii="Cambria Math" w:hAnsi="Cambria Math"/>
                    </w:rPr>
                  </m:ctrlPr>
                </m:dPr>
                <m:e>
                  <m:r>
                    <m:rPr>
                      <m:sty m:val="p"/>
                    </m:rPr>
                    <w:rPr>
                      <w:rFonts w:ascii="Cambria Math" w:hAnsi="Cambria Math"/>
                    </w:rPr>
                    <m:t>1-</m:t>
                  </m:r>
                  <m:r>
                    <w:rPr>
                      <w:rFonts w:ascii="Cambria Math" w:hAnsi="Cambria Math"/>
                    </w:rPr>
                    <m:t>p</m:t>
                  </m:r>
                </m:e>
              </m:d>
              <m:sSup>
                <m:sSupPr>
                  <m:ctrlPr>
                    <w:rPr>
                      <w:rFonts w:ascii="Cambria Math" w:hAnsi="Cambria Math"/>
                    </w:rPr>
                  </m:ctrlPr>
                </m:sSupPr>
                <m:e>
                  <m:r>
                    <w:rPr>
                      <w:rFonts w:ascii="Cambria Math" w:hAnsi="Cambria Math"/>
                    </w:rPr>
                    <m:t>x</m:t>
                  </m:r>
                </m:e>
                <m:sup>
                  <m:r>
                    <m:rPr>
                      <m:sty m:val="p"/>
                    </m:rPr>
                    <w:rPr>
                      <w:rFonts w:ascii="Cambria Math" w:hAnsi="Cambria Math"/>
                    </w:rPr>
                    <m:t>2</m:t>
                  </m:r>
                </m:sup>
              </m:sSup>
            </m:num>
            <m:den>
              <m:sSup>
                <m:sSupPr>
                  <m:ctrlPr>
                    <w:rPr>
                      <w:rFonts w:ascii="Cambria Math" w:hAnsi="Cambria Math"/>
                    </w:rPr>
                  </m:ctrlPr>
                </m:sSupPr>
                <m:e>
                  <m:r>
                    <w:rPr>
                      <w:rFonts w:ascii="Cambria Math" w:hAnsi="Cambria Math"/>
                    </w:rPr>
                    <m:t>e</m:t>
                  </m:r>
                </m:e>
                <m:sup>
                  <m:r>
                    <m:rPr>
                      <m:sty m:val="p"/>
                    </m:rPr>
                    <w:rPr>
                      <w:rFonts w:ascii="Cambria Math" w:hAnsi="Cambria Math"/>
                    </w:rPr>
                    <m:t>2</m:t>
                  </m:r>
                </m:sup>
              </m:sSup>
            </m:den>
          </m:f>
        </m:oMath>
      </m:oMathPara>
    </w:p>
    <w:p w:rsidR="00FD09D1" w:rsidRPr="00E513FA" w:rsidRDefault="00FD09D1" w:rsidP="006950A1">
      <w:pPr>
        <w:jc w:val="both"/>
      </w:pPr>
      <w:r w:rsidRPr="00E513FA">
        <w:t>Où :</w:t>
      </w:r>
    </w:p>
    <w:p w:rsidR="00FD09D1" w:rsidRPr="00E513FA" w:rsidRDefault="00FD09D1" w:rsidP="006950A1">
      <w:pPr>
        <w:jc w:val="both"/>
      </w:pPr>
      <w:r w:rsidRPr="00E513FA">
        <w:t>p : est la proportion d</w:t>
      </w:r>
      <w:r>
        <w:t xml:space="preserve">’éleveurs </w:t>
      </w:r>
      <w:r w:rsidRPr="00E513FA">
        <w:t>par rapport à un caractère donné lors d'une étude antérieure. Mais en pratique on prend souvent p=0,5 car cette valeur permet d'obtenir la taille maximale.</w:t>
      </w:r>
    </w:p>
    <w:p w:rsidR="00FD09D1" w:rsidRPr="00E513FA" w:rsidRDefault="00FD09D1" w:rsidP="006950A1">
      <w:pPr>
        <w:jc w:val="both"/>
      </w:pPr>
      <m:oMath>
        <m:r>
          <w:rPr>
            <w:rFonts w:ascii="Cambria Math" w:hAnsi="Cambria Math"/>
          </w:rPr>
          <m:t>x</m:t>
        </m:r>
      </m:oMath>
      <w:r w:rsidRPr="00E513FA">
        <w:t xml:space="preserve"> : correspond au niveau de confiance (pris égal à 1,96 à un seuil de 5%) ;</w:t>
      </w:r>
    </w:p>
    <w:p w:rsidR="00FD09D1" w:rsidRPr="00E513FA" w:rsidRDefault="00FD09D1" w:rsidP="006950A1">
      <w:pPr>
        <w:jc w:val="both"/>
      </w:pPr>
      <m:oMath>
        <m:r>
          <w:rPr>
            <w:rFonts w:ascii="Cambria Math" w:hAnsi="Cambria Math"/>
          </w:rPr>
          <m:t xml:space="preserve">e </m:t>
        </m:r>
      </m:oMath>
      <w:r w:rsidRPr="00E513FA">
        <w:t xml:space="preserve">: est le niveau de précision des résultats. Pour atteindre les objectifs de cette étude, nous fixons une précision de </w:t>
      </w:r>
      <w:r>
        <w:t>6</w:t>
      </w:r>
      <w:r w:rsidRPr="00E513FA">
        <w:t>%.</w:t>
      </w:r>
    </w:p>
    <w:p w:rsidR="00FD09D1" w:rsidRPr="00E513FA" w:rsidRDefault="00FD09D1" w:rsidP="006950A1">
      <w:pPr>
        <w:jc w:val="both"/>
      </w:pPr>
      <w:r w:rsidRPr="00E513FA">
        <w:t>Cette taille (n1) devrait être ajustée en fonction de la taille de la population (</w:t>
      </w:r>
      <m:oMath>
        <m:r>
          <w:rPr>
            <w:rFonts w:ascii="Cambria Math" w:hAnsi="Cambria Math"/>
          </w:rPr>
          <m:t>N</m:t>
        </m:r>
      </m:oMath>
      <w:r w:rsidRPr="00E513FA">
        <w:t>). Cela n’aura des répercussions seulement que pour les populations de petite taille ou de taille moyenne. La formule est donnée par l’équation suivante :</w:t>
      </w:r>
    </w:p>
    <w:p w:rsidR="00FD09D1" w:rsidRPr="00E513FA" w:rsidRDefault="00636000" w:rsidP="00FD09D1">
      <m:oMathPara>
        <m:oMath>
          <m:sSub>
            <m:sSubPr>
              <m:ctrlPr>
                <w:rPr>
                  <w:rFonts w:ascii="Cambria Math" w:hAnsi="Cambria Math"/>
                  <w:i/>
                </w:rPr>
              </m:ctrlPr>
            </m:sSubPr>
            <m:e>
              <m:r>
                <w:rPr>
                  <w:rFonts w:ascii="Cambria Math" w:hAnsi="Cambria Math"/>
                </w:rPr>
                <m:t>n</m:t>
              </m:r>
            </m:e>
            <m:sub>
              <m:r>
                <w:rPr>
                  <w:rFonts w:ascii="Cambria Math" w:hAnsi="Cambria Math"/>
                </w:rPr>
                <m:t>2</m:t>
              </m:r>
            </m:sub>
          </m:sSub>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1</m:t>
              </m:r>
            </m:sub>
          </m:sSub>
          <m:f>
            <m:fPr>
              <m:ctrlPr>
                <w:rPr>
                  <w:rFonts w:ascii="Cambria Math" w:hAnsi="Cambria Math"/>
                  <w:i/>
                </w:rPr>
              </m:ctrlPr>
            </m:fPr>
            <m:num>
              <m:r>
                <w:rPr>
                  <w:rFonts w:ascii="Cambria Math" w:hAnsi="Cambria Math"/>
                </w:rPr>
                <m:t>N</m:t>
              </m:r>
            </m:num>
            <m:den>
              <m:r>
                <w:rPr>
                  <w:rFonts w:ascii="Cambria Math" w:hAnsi="Cambria Math"/>
                </w:rPr>
                <m:t>N+</m:t>
              </m:r>
              <m:sSub>
                <m:sSubPr>
                  <m:ctrlPr>
                    <w:rPr>
                      <w:rFonts w:ascii="Cambria Math" w:hAnsi="Cambria Math"/>
                      <w:i/>
                    </w:rPr>
                  </m:ctrlPr>
                </m:sSubPr>
                <m:e>
                  <m:r>
                    <w:rPr>
                      <w:rFonts w:ascii="Cambria Math" w:hAnsi="Cambria Math"/>
                    </w:rPr>
                    <m:t>n</m:t>
                  </m:r>
                </m:e>
                <m:sub>
                  <m:r>
                    <w:rPr>
                      <w:rFonts w:ascii="Cambria Math" w:hAnsi="Cambria Math"/>
                    </w:rPr>
                    <m:t>1</m:t>
                  </m:r>
                </m:sub>
              </m:sSub>
            </m:den>
          </m:f>
        </m:oMath>
      </m:oMathPara>
    </w:p>
    <w:p w:rsidR="00FD09D1" w:rsidRPr="00E513FA" w:rsidRDefault="00FD09D1" w:rsidP="006950A1">
      <w:pPr>
        <w:jc w:val="both"/>
      </w:pPr>
      <w:r w:rsidRPr="00E513FA">
        <w:t xml:space="preserve">Avec ces différents paramètres nous obtenons une taille minimale de </w:t>
      </w:r>
      <w:r>
        <w:t>277</w:t>
      </w:r>
      <w:r w:rsidRPr="00E513FA">
        <w:t xml:space="preserve"> migrants à enquêter. Sur ce, afin d’effectuer une étude fiable, une taille de </w:t>
      </w:r>
      <w:r>
        <w:t>300éleveurs</w:t>
      </w:r>
      <w:r w:rsidRPr="00E513FA">
        <w:t xml:space="preserve"> est retenue.</w:t>
      </w:r>
    </w:p>
    <w:p w:rsidR="00FD09D1" w:rsidRPr="00E513FA" w:rsidRDefault="00FD09D1" w:rsidP="00FD09D1">
      <w:pPr>
        <w:widowControl w:val="0"/>
        <w:autoSpaceDE w:val="0"/>
        <w:autoSpaceDN w:val="0"/>
        <w:adjustRightInd w:val="0"/>
        <w:spacing w:after="0"/>
      </w:pPr>
    </w:p>
    <w:p w:rsidR="00FD09D1" w:rsidRPr="00532708" w:rsidRDefault="00FD09D1" w:rsidP="000D2B6B">
      <w:pPr>
        <w:pStyle w:val="Heading2"/>
        <w:numPr>
          <w:ilvl w:val="0"/>
          <w:numId w:val="5"/>
        </w:numPr>
      </w:pPr>
      <w:r w:rsidRPr="00532708">
        <w:rPr>
          <w:lang w:eastAsia="fr-FR"/>
        </w:rPr>
        <w:t>Plan de sondage</w:t>
      </w:r>
    </w:p>
    <w:p w:rsidR="00FD09D1" w:rsidRDefault="00FD09D1" w:rsidP="006950A1">
      <w:pPr>
        <w:jc w:val="both"/>
      </w:pPr>
      <w:r w:rsidRPr="00E513FA">
        <w:t>A cause des raisons pratiques (trop grand, trop cher, prenant trop de temps, …), il est souvent difficiled’interroger toute la population. Dans ce cas, on fait des enquêtes par sondage à l’aide d’un échantillon constituant une partie de la population, choisie pour refléter la population le mieux possible</w:t>
      </w:r>
      <w:r w:rsidRPr="007256F0">
        <w:t>. Pour ce faire, la base de sondage doit être assez homogène compte tenu des objectifs de l’étude de sorte que tout échantillon tiré de façon aléatoire soit représentatif de la population de la base de sondage. Cela nous conduit à nous interroger sur le niveau d’homogénéité</w:t>
      </w:r>
      <w:r>
        <w:t xml:space="preserve"> de la zone d’étude.</w:t>
      </w:r>
    </w:p>
    <w:p w:rsidR="00FD09D1" w:rsidRDefault="00FD09D1" w:rsidP="006950A1">
      <w:pPr>
        <w:jc w:val="both"/>
      </w:pPr>
      <w:r w:rsidRPr="00A50173">
        <w:t xml:space="preserve">La Zone </w:t>
      </w:r>
      <w:r>
        <w:t>d’étude</w:t>
      </w:r>
      <w:r w:rsidRPr="00A50173">
        <w:t xml:space="preserve"> du projet</w:t>
      </w:r>
      <w:r>
        <w:t xml:space="preserve"> porte sur les zones agro-sylvo-pastorales regroupant plusieurs régions et départements</w:t>
      </w:r>
      <w:r w:rsidRPr="00A50173">
        <w:t xml:space="preserve"> caractérisés par des systèmes </w:t>
      </w:r>
      <w:r>
        <w:t>d’élevage</w:t>
      </w:r>
      <w:r w:rsidR="000D2B6B">
        <w:t xml:space="preserve"> pastoral</w:t>
      </w:r>
      <w:r w:rsidRPr="00A50173">
        <w:t>différents</w:t>
      </w:r>
      <w:r w:rsidR="000D2B6B">
        <w:t xml:space="preserve"> (zone à dominance pastoral, zone à dominance agricole, zone d’embuche et de commerce de bétail, etc.). De même les aspects </w:t>
      </w:r>
      <w:r>
        <w:t xml:space="preserve">géographiques </w:t>
      </w:r>
      <w:r w:rsidR="000D2B6B">
        <w:t xml:space="preserve">sont également différents dans ces zones </w:t>
      </w:r>
      <w:r>
        <w:t>(type de sols, climat, végétation et pluviométrie).</w:t>
      </w:r>
    </w:p>
    <w:p w:rsidR="00025BC4" w:rsidRDefault="00025BC4" w:rsidP="006950A1">
      <w:pPr>
        <w:jc w:val="both"/>
      </w:pPr>
      <w:r>
        <w:t>Sachant que les départements et communes sont différents selon les types d’élevage pastoral pratiqué, l</w:t>
      </w:r>
      <w:r w:rsidR="00FD09D1">
        <w:t>e choix des départements</w:t>
      </w:r>
      <w:r w:rsidR="000D2B6B">
        <w:t xml:space="preserve"> qui seront considérés pour l’étude</w:t>
      </w:r>
      <w:r w:rsidR="00FD09D1">
        <w:t xml:space="preserve"> a été effectué </w:t>
      </w:r>
      <w:r w:rsidR="000D2B6B">
        <w:t xml:space="preserve">sur la base d’expérience pratique des éleveurs eux-mêmes. En effet, ce derniers ont été invité à prendre part à </w:t>
      </w:r>
      <w:r w:rsidR="000D2B6B">
        <w:lastRenderedPageBreak/>
        <w:t xml:space="preserve">la réunion de partage des outils et de la méthodologie de l’étude pour recueillir leurs avis sur le plan de sondage.  Les résultats de cette </w:t>
      </w:r>
      <w:r w:rsidR="005D6A86">
        <w:t xml:space="preserve">rencontre ont permis d’identifier des </w:t>
      </w:r>
      <w:r>
        <w:t xml:space="preserve">communes qui couvrent tous les types d’élevage pastoral pertinents pour lesquels les éleveurs font face à des difficultés liées aux phénomènes climatiques, notamment la variabilité pluviométrique. </w:t>
      </w:r>
    </w:p>
    <w:p w:rsidR="00C739B9" w:rsidRDefault="00025BC4" w:rsidP="006950A1">
      <w:pPr>
        <w:jc w:val="both"/>
      </w:pPr>
      <w:r>
        <w:t xml:space="preserve">Les représentants des éleveurs ont aidé l’équipe d’IPAR à classer d’abord les départements pour choisir ceux dans lesquels l’élevage pastoral est le plus présent. Ensuite les communes de ces départements ont été également passées en revue pour ne retenir que celles qui sont pertinentes. Les départements qui ont été retenus compte tenu des contraintes de temps et de budget de l’étude sont Dagana et Podor dans la région de Saint-Louis, Ranérou dans la région de Matam, Linguère dans la région de Louga et Koumpentoum dans la région de Tambacounda. </w:t>
      </w:r>
    </w:p>
    <w:p w:rsidR="00726C87" w:rsidRDefault="00726C87" w:rsidP="00726C87">
      <w:pPr>
        <w:pStyle w:val="Caption"/>
        <w:keepNext/>
      </w:pPr>
      <w:r>
        <w:t xml:space="preserve">Tableau </w:t>
      </w:r>
      <w:fldSimple w:instr=" SEQ Tableau \* ARABIC ">
        <w:r>
          <w:rPr>
            <w:noProof/>
          </w:rPr>
          <w:t>2</w:t>
        </w:r>
      </w:fldSimple>
      <w:r>
        <w:t>: Département et communes identifiés pour l'étude</w:t>
      </w:r>
      <w:bookmarkStart w:id="0" w:name="_GoBack"/>
      <w:bookmarkEnd w:id="0"/>
    </w:p>
    <w:tbl>
      <w:tblPr>
        <w:tblStyle w:val="TableGrid"/>
        <w:tblW w:w="5000" w:type="pct"/>
        <w:tblLook w:val="04A0"/>
      </w:tblPr>
      <w:tblGrid>
        <w:gridCol w:w="1934"/>
        <w:gridCol w:w="1937"/>
        <w:gridCol w:w="2710"/>
        <w:gridCol w:w="2707"/>
      </w:tblGrid>
      <w:tr w:rsidR="0072451D" w:rsidTr="0072451D">
        <w:tc>
          <w:tcPr>
            <w:tcW w:w="1041" w:type="pct"/>
          </w:tcPr>
          <w:p w:rsidR="0072451D" w:rsidRDefault="0072451D" w:rsidP="000B784B">
            <w:pPr>
              <w:jc w:val="center"/>
            </w:pPr>
            <w:r>
              <w:t>Région</w:t>
            </w:r>
          </w:p>
        </w:tc>
        <w:tc>
          <w:tcPr>
            <w:tcW w:w="1043" w:type="pct"/>
          </w:tcPr>
          <w:p w:rsidR="0072451D" w:rsidRDefault="0072451D" w:rsidP="000B784B">
            <w:pPr>
              <w:jc w:val="center"/>
            </w:pPr>
            <w:r>
              <w:t>Département identifiés</w:t>
            </w:r>
          </w:p>
        </w:tc>
        <w:tc>
          <w:tcPr>
            <w:tcW w:w="1459" w:type="pct"/>
          </w:tcPr>
          <w:p w:rsidR="0072451D" w:rsidRDefault="0072451D" w:rsidP="000B784B">
            <w:pPr>
              <w:jc w:val="center"/>
            </w:pPr>
            <w:r>
              <w:t>Nombre total de communes</w:t>
            </w:r>
          </w:p>
        </w:tc>
        <w:tc>
          <w:tcPr>
            <w:tcW w:w="1457" w:type="pct"/>
          </w:tcPr>
          <w:p w:rsidR="0072451D" w:rsidRDefault="0072451D" w:rsidP="000B784B">
            <w:pPr>
              <w:jc w:val="center"/>
            </w:pPr>
            <w:r>
              <w:t>Communes d’élevage pastoral identifié</w:t>
            </w:r>
          </w:p>
        </w:tc>
      </w:tr>
      <w:tr w:rsidR="0072451D" w:rsidTr="0072451D">
        <w:tc>
          <w:tcPr>
            <w:tcW w:w="1041" w:type="pct"/>
            <w:vMerge w:val="restart"/>
          </w:tcPr>
          <w:p w:rsidR="0072451D" w:rsidRDefault="0072451D" w:rsidP="000B784B">
            <w:pPr>
              <w:jc w:val="center"/>
            </w:pPr>
            <w:r>
              <w:t>Saint-Louis</w:t>
            </w:r>
          </w:p>
        </w:tc>
        <w:tc>
          <w:tcPr>
            <w:tcW w:w="1043" w:type="pct"/>
          </w:tcPr>
          <w:p w:rsidR="0072451D" w:rsidRDefault="0072451D" w:rsidP="000B784B">
            <w:pPr>
              <w:jc w:val="center"/>
            </w:pPr>
            <w:r>
              <w:t>Dagana</w:t>
            </w:r>
          </w:p>
        </w:tc>
        <w:tc>
          <w:tcPr>
            <w:tcW w:w="1459" w:type="pct"/>
          </w:tcPr>
          <w:p w:rsidR="0072451D" w:rsidRDefault="0072451D" w:rsidP="000B784B">
            <w:pPr>
              <w:jc w:val="center"/>
            </w:pPr>
            <w:r>
              <w:t>11</w:t>
            </w:r>
          </w:p>
        </w:tc>
        <w:tc>
          <w:tcPr>
            <w:tcW w:w="1457" w:type="pct"/>
          </w:tcPr>
          <w:p w:rsidR="0072451D" w:rsidRDefault="0072451D" w:rsidP="000B784B">
            <w:pPr>
              <w:jc w:val="center"/>
            </w:pPr>
            <w:r>
              <w:t>11</w:t>
            </w:r>
          </w:p>
        </w:tc>
      </w:tr>
      <w:tr w:rsidR="0072451D" w:rsidTr="0072451D">
        <w:tc>
          <w:tcPr>
            <w:tcW w:w="1041" w:type="pct"/>
            <w:vMerge/>
          </w:tcPr>
          <w:p w:rsidR="0072451D" w:rsidRDefault="0072451D" w:rsidP="000B784B">
            <w:pPr>
              <w:jc w:val="center"/>
            </w:pPr>
          </w:p>
        </w:tc>
        <w:tc>
          <w:tcPr>
            <w:tcW w:w="1043" w:type="pct"/>
          </w:tcPr>
          <w:p w:rsidR="0072451D" w:rsidRDefault="0072451D" w:rsidP="000B784B">
            <w:pPr>
              <w:jc w:val="center"/>
            </w:pPr>
            <w:r>
              <w:t>Podor</w:t>
            </w:r>
          </w:p>
        </w:tc>
        <w:tc>
          <w:tcPr>
            <w:tcW w:w="1459" w:type="pct"/>
          </w:tcPr>
          <w:p w:rsidR="0072451D" w:rsidRDefault="0072451D" w:rsidP="000B784B">
            <w:pPr>
              <w:jc w:val="center"/>
            </w:pPr>
            <w:r>
              <w:t>22</w:t>
            </w:r>
          </w:p>
        </w:tc>
        <w:tc>
          <w:tcPr>
            <w:tcW w:w="1457" w:type="pct"/>
          </w:tcPr>
          <w:p w:rsidR="0072451D" w:rsidRDefault="0072451D" w:rsidP="000B784B">
            <w:pPr>
              <w:jc w:val="center"/>
            </w:pPr>
            <w:r>
              <w:t>13</w:t>
            </w:r>
          </w:p>
        </w:tc>
      </w:tr>
      <w:tr w:rsidR="0072451D" w:rsidTr="0072451D">
        <w:tc>
          <w:tcPr>
            <w:tcW w:w="1041" w:type="pct"/>
          </w:tcPr>
          <w:p w:rsidR="0072451D" w:rsidRDefault="0072451D" w:rsidP="000B784B">
            <w:pPr>
              <w:jc w:val="center"/>
            </w:pPr>
            <w:r>
              <w:t>Louga</w:t>
            </w:r>
          </w:p>
        </w:tc>
        <w:tc>
          <w:tcPr>
            <w:tcW w:w="1043" w:type="pct"/>
          </w:tcPr>
          <w:p w:rsidR="0072451D" w:rsidRDefault="0072451D" w:rsidP="000B784B">
            <w:pPr>
              <w:jc w:val="center"/>
            </w:pPr>
            <w:r>
              <w:t>Linguère</w:t>
            </w:r>
          </w:p>
        </w:tc>
        <w:tc>
          <w:tcPr>
            <w:tcW w:w="1459" w:type="pct"/>
          </w:tcPr>
          <w:p w:rsidR="0072451D" w:rsidRDefault="0072451D" w:rsidP="000B784B">
            <w:pPr>
              <w:jc w:val="center"/>
            </w:pPr>
            <w:r>
              <w:t>19</w:t>
            </w:r>
          </w:p>
        </w:tc>
        <w:tc>
          <w:tcPr>
            <w:tcW w:w="1457" w:type="pct"/>
          </w:tcPr>
          <w:p w:rsidR="0072451D" w:rsidRDefault="0072451D" w:rsidP="000B784B">
            <w:pPr>
              <w:jc w:val="center"/>
            </w:pPr>
            <w:r>
              <w:t>19</w:t>
            </w:r>
          </w:p>
        </w:tc>
      </w:tr>
      <w:tr w:rsidR="0072451D" w:rsidTr="0072451D">
        <w:tc>
          <w:tcPr>
            <w:tcW w:w="1041" w:type="pct"/>
          </w:tcPr>
          <w:p w:rsidR="0072451D" w:rsidRDefault="0072451D" w:rsidP="000B784B">
            <w:pPr>
              <w:jc w:val="center"/>
            </w:pPr>
            <w:r>
              <w:t>Matam</w:t>
            </w:r>
          </w:p>
        </w:tc>
        <w:tc>
          <w:tcPr>
            <w:tcW w:w="1043" w:type="pct"/>
          </w:tcPr>
          <w:p w:rsidR="0072451D" w:rsidRDefault="0072451D" w:rsidP="000B784B">
            <w:pPr>
              <w:jc w:val="center"/>
            </w:pPr>
            <w:r>
              <w:t>Ranérou</w:t>
            </w:r>
          </w:p>
        </w:tc>
        <w:tc>
          <w:tcPr>
            <w:tcW w:w="1459" w:type="pct"/>
          </w:tcPr>
          <w:p w:rsidR="0072451D" w:rsidRDefault="0072451D" w:rsidP="000B784B">
            <w:pPr>
              <w:jc w:val="center"/>
            </w:pPr>
            <w:r>
              <w:t>4</w:t>
            </w:r>
          </w:p>
        </w:tc>
        <w:tc>
          <w:tcPr>
            <w:tcW w:w="1457" w:type="pct"/>
          </w:tcPr>
          <w:p w:rsidR="0072451D" w:rsidRDefault="0072451D" w:rsidP="000B784B">
            <w:pPr>
              <w:jc w:val="center"/>
            </w:pPr>
            <w:r>
              <w:t>5</w:t>
            </w:r>
          </w:p>
        </w:tc>
      </w:tr>
      <w:tr w:rsidR="0072451D" w:rsidTr="0072451D">
        <w:tc>
          <w:tcPr>
            <w:tcW w:w="1041" w:type="pct"/>
          </w:tcPr>
          <w:p w:rsidR="0072451D" w:rsidRDefault="0072451D" w:rsidP="000B784B">
            <w:pPr>
              <w:jc w:val="center"/>
            </w:pPr>
            <w:r>
              <w:t>Tambacounda</w:t>
            </w:r>
          </w:p>
        </w:tc>
        <w:tc>
          <w:tcPr>
            <w:tcW w:w="1043" w:type="pct"/>
          </w:tcPr>
          <w:p w:rsidR="0072451D" w:rsidRDefault="0072451D" w:rsidP="000B784B">
            <w:pPr>
              <w:jc w:val="center"/>
            </w:pPr>
            <w:r>
              <w:t>Koumpentoum</w:t>
            </w:r>
          </w:p>
        </w:tc>
        <w:tc>
          <w:tcPr>
            <w:tcW w:w="1459" w:type="pct"/>
          </w:tcPr>
          <w:p w:rsidR="0072451D" w:rsidRDefault="0072451D" w:rsidP="000B784B">
            <w:pPr>
              <w:jc w:val="center"/>
            </w:pPr>
            <w:r>
              <w:t>10</w:t>
            </w:r>
          </w:p>
        </w:tc>
        <w:tc>
          <w:tcPr>
            <w:tcW w:w="1457" w:type="pct"/>
          </w:tcPr>
          <w:p w:rsidR="0072451D" w:rsidRDefault="00E80D74" w:rsidP="000B784B">
            <w:pPr>
              <w:jc w:val="center"/>
            </w:pPr>
            <w:r>
              <w:t>10</w:t>
            </w:r>
          </w:p>
        </w:tc>
      </w:tr>
      <w:tr w:rsidR="0072451D" w:rsidTr="0072451D">
        <w:tc>
          <w:tcPr>
            <w:tcW w:w="1041" w:type="pct"/>
          </w:tcPr>
          <w:p w:rsidR="0072451D" w:rsidRDefault="0072451D" w:rsidP="000B784B">
            <w:pPr>
              <w:jc w:val="center"/>
            </w:pPr>
            <w:r>
              <w:t>Total</w:t>
            </w:r>
          </w:p>
        </w:tc>
        <w:tc>
          <w:tcPr>
            <w:tcW w:w="1043" w:type="pct"/>
          </w:tcPr>
          <w:p w:rsidR="0072451D" w:rsidRDefault="0072451D" w:rsidP="000B784B">
            <w:pPr>
              <w:jc w:val="center"/>
            </w:pPr>
            <w:r>
              <w:t>6</w:t>
            </w:r>
          </w:p>
        </w:tc>
        <w:tc>
          <w:tcPr>
            <w:tcW w:w="1459" w:type="pct"/>
          </w:tcPr>
          <w:p w:rsidR="0072451D" w:rsidRDefault="0072451D" w:rsidP="000B784B">
            <w:pPr>
              <w:jc w:val="center"/>
            </w:pPr>
            <w:r>
              <w:t>95</w:t>
            </w:r>
          </w:p>
        </w:tc>
        <w:tc>
          <w:tcPr>
            <w:tcW w:w="1457" w:type="pct"/>
          </w:tcPr>
          <w:p w:rsidR="0072451D" w:rsidRDefault="00E80D74" w:rsidP="000B784B">
            <w:pPr>
              <w:jc w:val="center"/>
            </w:pPr>
            <w:r>
              <w:t>58</w:t>
            </w:r>
          </w:p>
        </w:tc>
      </w:tr>
    </w:tbl>
    <w:p w:rsidR="0072451D" w:rsidRDefault="0072451D" w:rsidP="006950A1">
      <w:pPr>
        <w:jc w:val="both"/>
      </w:pPr>
    </w:p>
    <w:p w:rsidR="00FD09D1" w:rsidRDefault="00FD09D1" w:rsidP="006950A1">
      <w:pPr>
        <w:jc w:val="both"/>
      </w:pPr>
      <w:r>
        <w:t>L’ensemble des communes pastorales identifiées dans ces départements est réparti en 6 strates. Chaque strate comprend un groupe de communes. Les strates sont définies suivant le type d’élevage (z</w:t>
      </w:r>
      <w:r w:rsidRPr="00414E75">
        <w:t>one pastorale</w:t>
      </w:r>
      <w:r>
        <w:t xml:space="preserve">, </w:t>
      </w:r>
      <w:r w:rsidRPr="00414E75">
        <w:t xml:space="preserve">zone agro-pastorale à </w:t>
      </w:r>
      <w:r>
        <w:t>pré</w:t>
      </w:r>
      <w:r w:rsidRPr="00414E75">
        <w:t>dominance pastorale</w:t>
      </w:r>
      <w:r>
        <w:t xml:space="preserve">, </w:t>
      </w:r>
      <w:r w:rsidRPr="00414E75">
        <w:t xml:space="preserve">zone agro-pastorale à </w:t>
      </w:r>
      <w:r>
        <w:t>pré</w:t>
      </w:r>
      <w:r w:rsidRPr="00414E75">
        <w:t>dominance agricole</w:t>
      </w:r>
      <w:r>
        <w:t xml:space="preserve">, </w:t>
      </w:r>
      <w:r w:rsidRPr="00414E75">
        <w:t>zoneagro-pastorale par excel</w:t>
      </w:r>
      <w:r>
        <w:t>l</w:t>
      </w:r>
      <w:r w:rsidRPr="00414E75">
        <w:t>ence</w:t>
      </w:r>
      <w:r>
        <w:t>, z</w:t>
      </w:r>
      <w:r w:rsidRPr="00414E75">
        <w:t>oned'embouche et</w:t>
      </w:r>
      <w:r>
        <w:t xml:space="preserve"> de</w:t>
      </w:r>
      <w:r w:rsidRPr="00414E75">
        <w:t xml:space="preserve"> commerce d</w:t>
      </w:r>
      <w:r>
        <w:t>e</w:t>
      </w:r>
      <w:r w:rsidRPr="00414E75">
        <w:t xml:space="preserve"> bétail</w:t>
      </w:r>
      <w:r>
        <w:t xml:space="preserve">, </w:t>
      </w:r>
      <w:r w:rsidRPr="00414E75">
        <w:t>zone de transit</w:t>
      </w:r>
      <w:r w:rsidR="00726C87">
        <w:t xml:space="preserve"> – voir tableau 3</w:t>
      </w:r>
      <w:r>
        <w:t xml:space="preserve">). </w:t>
      </w:r>
      <w:r w:rsidRPr="007256F0">
        <w:t>A</w:t>
      </w:r>
      <w:r>
        <w:t>insi</w:t>
      </w:r>
      <w:r w:rsidRPr="007256F0">
        <w:t xml:space="preserve">, nous préconisons un sondage aléatoire à </w:t>
      </w:r>
      <w:r>
        <w:t>trois</w:t>
      </w:r>
      <w:r w:rsidRPr="007256F0">
        <w:t xml:space="preserve"> degrés dans chacune de ces six (6) </w:t>
      </w:r>
      <w:r>
        <w:t>strates</w:t>
      </w:r>
      <w:r w:rsidRPr="007256F0">
        <w:t xml:space="preserve"> définies ci-dessus</w:t>
      </w:r>
      <w:r>
        <w:t>.</w:t>
      </w:r>
    </w:p>
    <w:p w:rsidR="00E80D74" w:rsidRDefault="00E80D74" w:rsidP="00E80D74">
      <w:pPr>
        <w:pStyle w:val="Caption"/>
        <w:keepNext/>
      </w:pPr>
      <w:r>
        <w:t xml:space="preserve">Tableau </w:t>
      </w:r>
      <w:fldSimple w:instr=" SEQ Tableau \* ARABIC ">
        <w:r w:rsidR="00726C87">
          <w:rPr>
            <w:noProof/>
          </w:rPr>
          <w:t>3</w:t>
        </w:r>
      </w:fldSimple>
      <w:r>
        <w:t>: Classement des communes selon le type d'élevage pratiqué</w:t>
      </w:r>
    </w:p>
    <w:tbl>
      <w:tblPr>
        <w:tblW w:w="88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174"/>
        <w:gridCol w:w="2640"/>
      </w:tblGrid>
      <w:tr w:rsidR="00E80D74" w:rsidRPr="00E80D74" w:rsidTr="00AC7BE7">
        <w:trPr>
          <w:trHeight w:val="300"/>
          <w:jc w:val="center"/>
        </w:trPr>
        <w:tc>
          <w:tcPr>
            <w:tcW w:w="6174" w:type="dxa"/>
            <w:shd w:val="clear" w:color="D9E1F2" w:fill="D9E1F2"/>
            <w:noWrap/>
            <w:vAlign w:val="bottom"/>
            <w:hideMark/>
          </w:tcPr>
          <w:p w:rsidR="00E80D74" w:rsidRPr="00E80D74" w:rsidRDefault="00E80D74" w:rsidP="00E80D74">
            <w:pPr>
              <w:spacing w:after="0" w:line="240" w:lineRule="auto"/>
              <w:rPr>
                <w:rFonts w:ascii="Calibri" w:eastAsia="Times New Roman" w:hAnsi="Calibri" w:cs="Times New Roman"/>
                <w:b/>
                <w:bCs/>
                <w:color w:val="000000"/>
                <w:lang w:eastAsia="fr-FR"/>
              </w:rPr>
            </w:pPr>
            <w:r>
              <w:rPr>
                <w:rFonts w:ascii="Calibri" w:eastAsia="Times New Roman" w:hAnsi="Calibri" w:cs="Times New Roman"/>
                <w:b/>
                <w:bCs/>
                <w:color w:val="000000"/>
                <w:lang w:eastAsia="fr-FR"/>
              </w:rPr>
              <w:t>Type d’élevage pratiqué selon les communes</w:t>
            </w:r>
          </w:p>
        </w:tc>
        <w:tc>
          <w:tcPr>
            <w:tcW w:w="2640" w:type="dxa"/>
            <w:shd w:val="clear" w:color="D9E1F2" w:fill="D9E1F2"/>
            <w:noWrap/>
            <w:vAlign w:val="bottom"/>
            <w:hideMark/>
          </w:tcPr>
          <w:p w:rsidR="00E80D74" w:rsidRPr="00E80D74" w:rsidRDefault="00E80D74" w:rsidP="00E80D74">
            <w:pPr>
              <w:spacing w:after="0" w:line="240" w:lineRule="auto"/>
              <w:rPr>
                <w:rFonts w:ascii="Calibri" w:eastAsia="Times New Roman" w:hAnsi="Calibri" w:cs="Times New Roman"/>
                <w:b/>
                <w:bCs/>
                <w:color w:val="000000"/>
                <w:lang w:eastAsia="fr-FR"/>
              </w:rPr>
            </w:pPr>
            <w:r w:rsidRPr="00E80D74">
              <w:rPr>
                <w:rFonts w:ascii="Calibri" w:eastAsia="Times New Roman" w:hAnsi="Calibri" w:cs="Times New Roman"/>
                <w:b/>
                <w:bCs/>
                <w:color w:val="000000"/>
                <w:lang w:eastAsia="fr-FR"/>
              </w:rPr>
              <w:t>Nombre de Type d'élevage</w:t>
            </w:r>
          </w:p>
        </w:tc>
      </w:tr>
      <w:tr w:rsidR="00AC7BE7" w:rsidRPr="00E80D74" w:rsidTr="00AC7BE7">
        <w:trPr>
          <w:trHeight w:val="300"/>
          <w:jc w:val="center"/>
        </w:trPr>
        <w:tc>
          <w:tcPr>
            <w:tcW w:w="6174" w:type="dxa"/>
            <w:shd w:val="clear" w:color="auto" w:fill="auto"/>
            <w:noWrap/>
            <w:vAlign w:val="bottom"/>
            <w:hideMark/>
          </w:tcPr>
          <w:p w:rsidR="00AC7BE7" w:rsidRPr="00E80D74" w:rsidRDefault="00AC7BE7" w:rsidP="000B784B">
            <w:pPr>
              <w:spacing w:after="0" w:line="240" w:lineRule="auto"/>
              <w:rPr>
                <w:rFonts w:ascii="Calibri" w:eastAsia="Times New Roman" w:hAnsi="Calibri" w:cs="Times New Roman"/>
                <w:color w:val="000000"/>
                <w:lang w:eastAsia="fr-FR"/>
              </w:rPr>
            </w:pPr>
            <w:r>
              <w:rPr>
                <w:rFonts w:ascii="Calibri" w:eastAsia="Times New Roman" w:hAnsi="Calibri" w:cs="Times New Roman"/>
                <w:color w:val="000000"/>
                <w:lang w:eastAsia="fr-FR"/>
              </w:rPr>
              <w:t>Commune non pertinentes pour l’étude</w:t>
            </w:r>
          </w:p>
        </w:tc>
        <w:tc>
          <w:tcPr>
            <w:tcW w:w="2640" w:type="dxa"/>
            <w:shd w:val="clear" w:color="auto" w:fill="auto"/>
            <w:noWrap/>
            <w:vAlign w:val="bottom"/>
            <w:hideMark/>
          </w:tcPr>
          <w:p w:rsidR="00AC7BE7" w:rsidRPr="00E80D74" w:rsidRDefault="00AC7BE7" w:rsidP="000B784B">
            <w:pPr>
              <w:spacing w:after="0" w:line="240" w:lineRule="auto"/>
              <w:jc w:val="right"/>
              <w:rPr>
                <w:rFonts w:ascii="Calibri" w:eastAsia="Times New Roman" w:hAnsi="Calibri" w:cs="Times New Roman"/>
                <w:color w:val="000000"/>
                <w:lang w:eastAsia="fr-FR"/>
              </w:rPr>
            </w:pPr>
            <w:r w:rsidRPr="00E80D74">
              <w:rPr>
                <w:rFonts w:ascii="Calibri" w:eastAsia="Times New Roman" w:hAnsi="Calibri" w:cs="Times New Roman"/>
                <w:color w:val="000000"/>
                <w:lang w:eastAsia="fr-FR"/>
              </w:rPr>
              <w:t>9</w:t>
            </w:r>
          </w:p>
        </w:tc>
      </w:tr>
      <w:tr w:rsidR="00E80D74" w:rsidRPr="00E80D74" w:rsidTr="00AC7BE7">
        <w:trPr>
          <w:trHeight w:val="300"/>
          <w:jc w:val="center"/>
        </w:trPr>
        <w:tc>
          <w:tcPr>
            <w:tcW w:w="6174" w:type="dxa"/>
            <w:shd w:val="clear" w:color="auto" w:fill="auto"/>
            <w:noWrap/>
            <w:vAlign w:val="bottom"/>
            <w:hideMark/>
          </w:tcPr>
          <w:p w:rsidR="00E80D74" w:rsidRPr="00E80D74" w:rsidRDefault="00E80D74" w:rsidP="00E80D74">
            <w:pPr>
              <w:spacing w:after="0" w:line="240" w:lineRule="auto"/>
              <w:rPr>
                <w:rFonts w:ascii="Calibri" w:eastAsia="Times New Roman" w:hAnsi="Calibri" w:cs="Times New Roman"/>
                <w:color w:val="000000"/>
                <w:lang w:eastAsia="fr-FR"/>
              </w:rPr>
            </w:pPr>
            <w:r>
              <w:rPr>
                <w:rFonts w:ascii="Calibri" w:eastAsia="Times New Roman" w:hAnsi="Calibri" w:cs="Times New Roman"/>
                <w:color w:val="000000"/>
                <w:lang w:eastAsia="fr-FR"/>
              </w:rPr>
              <w:t>Commune pastoral par excellence</w:t>
            </w:r>
          </w:p>
        </w:tc>
        <w:tc>
          <w:tcPr>
            <w:tcW w:w="2640" w:type="dxa"/>
            <w:shd w:val="clear" w:color="auto" w:fill="auto"/>
            <w:noWrap/>
            <w:vAlign w:val="bottom"/>
            <w:hideMark/>
          </w:tcPr>
          <w:p w:rsidR="00E80D74" w:rsidRPr="00E80D74" w:rsidRDefault="00AC7BE7" w:rsidP="00E80D74">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13</w:t>
            </w:r>
          </w:p>
        </w:tc>
      </w:tr>
      <w:tr w:rsidR="00E80D74" w:rsidRPr="00E80D74" w:rsidTr="00AC7BE7">
        <w:trPr>
          <w:trHeight w:val="300"/>
          <w:jc w:val="center"/>
        </w:trPr>
        <w:tc>
          <w:tcPr>
            <w:tcW w:w="6174" w:type="dxa"/>
            <w:shd w:val="clear" w:color="auto" w:fill="auto"/>
            <w:noWrap/>
            <w:vAlign w:val="bottom"/>
            <w:hideMark/>
          </w:tcPr>
          <w:p w:rsidR="00E80D74" w:rsidRPr="00E80D74" w:rsidRDefault="00E80D74" w:rsidP="00E80D74">
            <w:pPr>
              <w:spacing w:after="0" w:line="240" w:lineRule="auto"/>
              <w:rPr>
                <w:rFonts w:ascii="Calibri" w:eastAsia="Times New Roman" w:hAnsi="Calibri" w:cs="Times New Roman"/>
                <w:color w:val="000000"/>
                <w:lang w:eastAsia="fr-FR"/>
              </w:rPr>
            </w:pPr>
            <w:r>
              <w:rPr>
                <w:rFonts w:ascii="Calibri" w:eastAsia="Times New Roman" w:hAnsi="Calibri" w:cs="Times New Roman"/>
                <w:color w:val="000000"/>
                <w:lang w:eastAsia="fr-FR"/>
              </w:rPr>
              <w:t xml:space="preserve">Commune </w:t>
            </w:r>
            <w:r w:rsidRPr="00414E75">
              <w:t xml:space="preserve">agro-pastorale à </w:t>
            </w:r>
            <w:r>
              <w:t>pré</w:t>
            </w:r>
            <w:r w:rsidRPr="00414E75">
              <w:t>dominance pastorale</w:t>
            </w:r>
          </w:p>
        </w:tc>
        <w:tc>
          <w:tcPr>
            <w:tcW w:w="2640" w:type="dxa"/>
            <w:shd w:val="clear" w:color="auto" w:fill="auto"/>
            <w:noWrap/>
            <w:vAlign w:val="bottom"/>
            <w:hideMark/>
          </w:tcPr>
          <w:p w:rsidR="00E80D74" w:rsidRPr="00E80D74" w:rsidRDefault="00AC7BE7" w:rsidP="00E80D74">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15</w:t>
            </w:r>
          </w:p>
        </w:tc>
      </w:tr>
      <w:tr w:rsidR="00E80D74" w:rsidRPr="00E80D74" w:rsidTr="00AC7BE7">
        <w:trPr>
          <w:trHeight w:val="300"/>
          <w:jc w:val="center"/>
        </w:trPr>
        <w:tc>
          <w:tcPr>
            <w:tcW w:w="6174" w:type="dxa"/>
            <w:shd w:val="clear" w:color="auto" w:fill="auto"/>
            <w:noWrap/>
            <w:vAlign w:val="bottom"/>
            <w:hideMark/>
          </w:tcPr>
          <w:p w:rsidR="00E80D74" w:rsidRPr="00E80D74" w:rsidRDefault="00E80D74" w:rsidP="00E80D74">
            <w:pPr>
              <w:spacing w:after="0" w:line="240" w:lineRule="auto"/>
              <w:rPr>
                <w:rFonts w:ascii="Calibri" w:eastAsia="Times New Roman" w:hAnsi="Calibri" w:cs="Times New Roman"/>
                <w:color w:val="000000"/>
                <w:lang w:eastAsia="fr-FR"/>
              </w:rPr>
            </w:pPr>
            <w:r>
              <w:rPr>
                <w:rFonts w:ascii="Calibri" w:eastAsia="Times New Roman" w:hAnsi="Calibri" w:cs="Times New Roman"/>
                <w:color w:val="000000"/>
                <w:lang w:eastAsia="fr-FR"/>
              </w:rPr>
              <w:t xml:space="preserve">Commune </w:t>
            </w:r>
            <w:r w:rsidRPr="00414E75">
              <w:t xml:space="preserve">agro-pastorale à </w:t>
            </w:r>
            <w:r>
              <w:t>pré</w:t>
            </w:r>
            <w:r w:rsidRPr="00414E75">
              <w:t>dominance agricole</w:t>
            </w:r>
          </w:p>
        </w:tc>
        <w:tc>
          <w:tcPr>
            <w:tcW w:w="2640" w:type="dxa"/>
            <w:shd w:val="clear" w:color="auto" w:fill="auto"/>
            <w:noWrap/>
            <w:vAlign w:val="bottom"/>
            <w:hideMark/>
          </w:tcPr>
          <w:p w:rsidR="00E80D74" w:rsidRPr="00E80D74" w:rsidRDefault="00AC7BE7" w:rsidP="00E80D74">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5</w:t>
            </w:r>
          </w:p>
        </w:tc>
      </w:tr>
      <w:tr w:rsidR="00E80D74" w:rsidRPr="00E80D74" w:rsidTr="00AC7BE7">
        <w:trPr>
          <w:trHeight w:val="300"/>
          <w:jc w:val="center"/>
        </w:trPr>
        <w:tc>
          <w:tcPr>
            <w:tcW w:w="6174" w:type="dxa"/>
            <w:shd w:val="clear" w:color="auto" w:fill="auto"/>
            <w:noWrap/>
            <w:vAlign w:val="bottom"/>
            <w:hideMark/>
          </w:tcPr>
          <w:p w:rsidR="00E80D74" w:rsidRPr="00E80D74" w:rsidRDefault="00E80D74" w:rsidP="00E80D74">
            <w:pPr>
              <w:spacing w:after="0" w:line="240" w:lineRule="auto"/>
              <w:rPr>
                <w:rFonts w:ascii="Calibri" w:eastAsia="Times New Roman" w:hAnsi="Calibri" w:cs="Times New Roman"/>
                <w:color w:val="000000"/>
                <w:lang w:eastAsia="fr-FR"/>
              </w:rPr>
            </w:pPr>
            <w:r>
              <w:rPr>
                <w:rFonts w:ascii="Calibri" w:eastAsia="Times New Roman" w:hAnsi="Calibri" w:cs="Times New Roman"/>
                <w:color w:val="000000"/>
                <w:lang w:eastAsia="fr-FR"/>
              </w:rPr>
              <w:t xml:space="preserve">Commune </w:t>
            </w:r>
            <w:r w:rsidRPr="00414E75">
              <w:t>agro-pastorale par excel</w:t>
            </w:r>
            <w:r>
              <w:t>l</w:t>
            </w:r>
            <w:r w:rsidRPr="00414E75">
              <w:t>ence</w:t>
            </w:r>
            <w:r>
              <w:t xml:space="preserve"> (</w:t>
            </w:r>
            <w:r w:rsidR="00AC7BE7">
              <w:t>équilibre</w:t>
            </w:r>
            <w:r>
              <w:t xml:space="preserve"> entre les deux activités</w:t>
            </w:r>
          </w:p>
        </w:tc>
        <w:tc>
          <w:tcPr>
            <w:tcW w:w="2640" w:type="dxa"/>
            <w:shd w:val="clear" w:color="auto" w:fill="auto"/>
            <w:noWrap/>
            <w:vAlign w:val="bottom"/>
            <w:hideMark/>
          </w:tcPr>
          <w:p w:rsidR="00E80D74" w:rsidRPr="00E80D74" w:rsidRDefault="00AC7BE7" w:rsidP="00E80D74">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8</w:t>
            </w:r>
          </w:p>
        </w:tc>
      </w:tr>
      <w:tr w:rsidR="00E80D74" w:rsidRPr="00E80D74" w:rsidTr="00AC7BE7">
        <w:trPr>
          <w:trHeight w:val="300"/>
          <w:jc w:val="center"/>
        </w:trPr>
        <w:tc>
          <w:tcPr>
            <w:tcW w:w="6174" w:type="dxa"/>
            <w:shd w:val="clear" w:color="auto" w:fill="auto"/>
            <w:noWrap/>
            <w:vAlign w:val="bottom"/>
            <w:hideMark/>
          </w:tcPr>
          <w:p w:rsidR="00E80D74" w:rsidRPr="00E80D74" w:rsidRDefault="00E80D74" w:rsidP="00E80D74">
            <w:pPr>
              <w:spacing w:after="0" w:line="240" w:lineRule="auto"/>
              <w:rPr>
                <w:rFonts w:ascii="Calibri" w:eastAsia="Times New Roman" w:hAnsi="Calibri" w:cs="Times New Roman"/>
                <w:color w:val="000000"/>
                <w:lang w:eastAsia="fr-FR"/>
              </w:rPr>
            </w:pPr>
            <w:r>
              <w:t xml:space="preserve">Commune </w:t>
            </w:r>
            <w:r w:rsidRPr="00414E75">
              <w:t>d'embouche et</w:t>
            </w:r>
            <w:r>
              <w:t xml:space="preserve"> de</w:t>
            </w:r>
            <w:r w:rsidRPr="00414E75">
              <w:t xml:space="preserve"> commerce d</w:t>
            </w:r>
            <w:r>
              <w:t>e</w:t>
            </w:r>
            <w:r w:rsidRPr="00414E75">
              <w:t xml:space="preserve"> bétail</w:t>
            </w:r>
          </w:p>
        </w:tc>
        <w:tc>
          <w:tcPr>
            <w:tcW w:w="2640" w:type="dxa"/>
            <w:shd w:val="clear" w:color="auto" w:fill="auto"/>
            <w:noWrap/>
            <w:vAlign w:val="bottom"/>
            <w:hideMark/>
          </w:tcPr>
          <w:p w:rsidR="00E80D74" w:rsidRPr="00E80D74" w:rsidRDefault="00AC7BE7" w:rsidP="00E80D74">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4</w:t>
            </w:r>
          </w:p>
        </w:tc>
      </w:tr>
      <w:tr w:rsidR="00E80D74" w:rsidRPr="00E80D74" w:rsidTr="00AC7BE7">
        <w:trPr>
          <w:trHeight w:val="300"/>
          <w:jc w:val="center"/>
        </w:trPr>
        <w:tc>
          <w:tcPr>
            <w:tcW w:w="6174" w:type="dxa"/>
            <w:shd w:val="clear" w:color="auto" w:fill="auto"/>
            <w:noWrap/>
            <w:vAlign w:val="bottom"/>
            <w:hideMark/>
          </w:tcPr>
          <w:p w:rsidR="00E80D74" w:rsidRPr="00E80D74" w:rsidRDefault="00AC7BE7" w:rsidP="00E80D74">
            <w:pPr>
              <w:spacing w:after="0" w:line="240" w:lineRule="auto"/>
              <w:rPr>
                <w:rFonts w:ascii="Calibri" w:eastAsia="Times New Roman" w:hAnsi="Calibri" w:cs="Times New Roman"/>
                <w:color w:val="000000"/>
                <w:lang w:eastAsia="fr-FR"/>
              </w:rPr>
            </w:pPr>
            <w:r>
              <w:rPr>
                <w:rFonts w:ascii="Calibri" w:eastAsia="Times New Roman" w:hAnsi="Calibri" w:cs="Times New Roman"/>
                <w:color w:val="000000"/>
                <w:lang w:eastAsia="fr-FR"/>
              </w:rPr>
              <w:t>Commune de Transit/Transhumance</w:t>
            </w:r>
          </w:p>
        </w:tc>
        <w:tc>
          <w:tcPr>
            <w:tcW w:w="2640" w:type="dxa"/>
            <w:shd w:val="clear" w:color="auto" w:fill="auto"/>
            <w:noWrap/>
            <w:vAlign w:val="bottom"/>
            <w:hideMark/>
          </w:tcPr>
          <w:p w:rsidR="00E80D74" w:rsidRPr="00E80D74" w:rsidRDefault="00AC7BE7" w:rsidP="00E80D74">
            <w:pPr>
              <w:spacing w:after="0" w:line="240" w:lineRule="auto"/>
              <w:jc w:val="right"/>
              <w:rPr>
                <w:rFonts w:ascii="Calibri" w:eastAsia="Times New Roman" w:hAnsi="Calibri" w:cs="Times New Roman"/>
                <w:color w:val="000000"/>
                <w:lang w:eastAsia="fr-FR"/>
              </w:rPr>
            </w:pPr>
            <w:r>
              <w:rPr>
                <w:rFonts w:ascii="Calibri" w:eastAsia="Times New Roman" w:hAnsi="Calibri" w:cs="Times New Roman"/>
                <w:color w:val="000000"/>
                <w:lang w:eastAsia="fr-FR"/>
              </w:rPr>
              <w:t>12</w:t>
            </w:r>
          </w:p>
        </w:tc>
      </w:tr>
      <w:tr w:rsidR="00E80D74" w:rsidRPr="00E80D74" w:rsidTr="00AC7BE7">
        <w:trPr>
          <w:trHeight w:val="300"/>
          <w:jc w:val="center"/>
        </w:trPr>
        <w:tc>
          <w:tcPr>
            <w:tcW w:w="6174" w:type="dxa"/>
            <w:shd w:val="clear" w:color="D9E1F2" w:fill="D9E1F2"/>
            <w:noWrap/>
            <w:vAlign w:val="bottom"/>
            <w:hideMark/>
          </w:tcPr>
          <w:p w:rsidR="00E80D74" w:rsidRPr="00E80D74" w:rsidRDefault="00E80D74" w:rsidP="00E80D74">
            <w:pPr>
              <w:spacing w:after="0" w:line="240" w:lineRule="auto"/>
              <w:rPr>
                <w:rFonts w:ascii="Calibri" w:eastAsia="Times New Roman" w:hAnsi="Calibri" w:cs="Times New Roman"/>
                <w:b/>
                <w:bCs/>
                <w:color w:val="000000"/>
                <w:lang w:eastAsia="fr-FR"/>
              </w:rPr>
            </w:pPr>
            <w:r w:rsidRPr="00E80D74">
              <w:rPr>
                <w:rFonts w:ascii="Calibri" w:eastAsia="Times New Roman" w:hAnsi="Calibri" w:cs="Times New Roman"/>
                <w:b/>
                <w:bCs/>
                <w:color w:val="000000"/>
                <w:lang w:eastAsia="fr-FR"/>
              </w:rPr>
              <w:t>Total général</w:t>
            </w:r>
          </w:p>
        </w:tc>
        <w:tc>
          <w:tcPr>
            <w:tcW w:w="2640" w:type="dxa"/>
            <w:shd w:val="clear" w:color="D9E1F2" w:fill="D9E1F2"/>
            <w:noWrap/>
            <w:vAlign w:val="bottom"/>
            <w:hideMark/>
          </w:tcPr>
          <w:p w:rsidR="00E80D74" w:rsidRPr="00E80D74" w:rsidRDefault="00E80D74" w:rsidP="00E80D74">
            <w:pPr>
              <w:spacing w:after="0" w:line="240" w:lineRule="auto"/>
              <w:jc w:val="right"/>
              <w:rPr>
                <w:rFonts w:ascii="Calibri" w:eastAsia="Times New Roman" w:hAnsi="Calibri" w:cs="Times New Roman"/>
                <w:b/>
                <w:bCs/>
                <w:color w:val="000000"/>
                <w:lang w:eastAsia="fr-FR"/>
              </w:rPr>
            </w:pPr>
            <w:r w:rsidRPr="00E80D74">
              <w:rPr>
                <w:rFonts w:ascii="Calibri" w:eastAsia="Times New Roman" w:hAnsi="Calibri" w:cs="Times New Roman"/>
                <w:b/>
                <w:bCs/>
                <w:color w:val="000000"/>
                <w:lang w:eastAsia="fr-FR"/>
              </w:rPr>
              <w:t>66</w:t>
            </w:r>
          </w:p>
        </w:tc>
      </w:tr>
    </w:tbl>
    <w:p w:rsidR="00E80D74" w:rsidRDefault="00E80D74" w:rsidP="006950A1">
      <w:pPr>
        <w:jc w:val="both"/>
      </w:pPr>
    </w:p>
    <w:p w:rsidR="00FD09D1" w:rsidRDefault="00FD09D1" w:rsidP="006950A1">
      <w:pPr>
        <w:jc w:val="both"/>
      </w:pPr>
      <w:r w:rsidRPr="007256F0">
        <w:t>Au premier degré on tire</w:t>
      </w:r>
      <w:r>
        <w:t xml:space="preserve"> de manière aléatoire </w:t>
      </w:r>
      <w:r w:rsidRPr="007256F0">
        <w:t xml:space="preserve">un échantillon de </w:t>
      </w:r>
      <w:r>
        <w:t>15 communes</w:t>
      </w:r>
      <w:r w:rsidRPr="007256F0">
        <w:t xml:space="preserve"> correspondant aux unités primaires</w:t>
      </w:r>
      <w:r>
        <w:t xml:space="preserve"> et réparti </w:t>
      </w:r>
      <w:r w:rsidRPr="001B024F">
        <w:t>proportionnell</w:t>
      </w:r>
      <w:r>
        <w:t xml:space="preserve">ement au nombre de communes de chaque strate. Au deuxième degré, un échantillon de 60 villages est tiré de façon aléatoire à raison de 4 villages dans </w:t>
      </w:r>
      <w:r>
        <w:lastRenderedPageBreak/>
        <w:t xml:space="preserve">chaque commune. Au Troisième degré, la liste des ménages de chaque village tiré permet aux agents de sélectionner un échantillon systématique de ménages. </w:t>
      </w:r>
      <w:r w:rsidR="00B51A5C">
        <w:t>Les chefs de ménage</w:t>
      </w:r>
      <w:r>
        <w:t xml:space="preserve"> sélectionnés sont ensuite interviewés pour l’enquête. </w:t>
      </w:r>
    </w:p>
    <w:p w:rsidR="00FD09D1" w:rsidRDefault="00FD09D1" w:rsidP="006950A1">
      <w:pPr>
        <w:jc w:val="both"/>
      </w:pPr>
      <w:r>
        <w:t>Ce choix présente plusieurs avantages notammentd’é</w:t>
      </w:r>
      <w:r w:rsidRPr="00A50173">
        <w:t>viter une dispersion géographique très importante de l’échantillon dans un vaste espace non homogène et pouvant générer des coûts inutiles.</w:t>
      </w:r>
    </w:p>
    <w:p w:rsidR="00FD09D1" w:rsidRPr="008129B2" w:rsidRDefault="00FD09D1" w:rsidP="00FD09D1">
      <w:pPr>
        <w:pStyle w:val="Caption"/>
        <w:keepNext/>
        <w:rPr>
          <w:sz w:val="22"/>
          <w:szCs w:val="22"/>
        </w:rPr>
      </w:pPr>
      <w:r w:rsidRPr="008129B2">
        <w:rPr>
          <w:sz w:val="22"/>
          <w:szCs w:val="22"/>
        </w:rPr>
        <w:t xml:space="preserve">Tableau </w:t>
      </w:r>
      <w:r w:rsidR="00636000" w:rsidRPr="008129B2">
        <w:rPr>
          <w:sz w:val="22"/>
          <w:szCs w:val="22"/>
        </w:rPr>
        <w:fldChar w:fldCharType="begin"/>
      </w:r>
      <w:r w:rsidRPr="008129B2">
        <w:rPr>
          <w:sz w:val="22"/>
          <w:szCs w:val="22"/>
        </w:rPr>
        <w:instrText xml:space="preserve"> SEQ Tableau \* ARABIC </w:instrText>
      </w:r>
      <w:r w:rsidR="00636000" w:rsidRPr="008129B2">
        <w:rPr>
          <w:sz w:val="22"/>
          <w:szCs w:val="22"/>
        </w:rPr>
        <w:fldChar w:fldCharType="separate"/>
      </w:r>
      <w:r w:rsidR="00726C87">
        <w:rPr>
          <w:noProof/>
          <w:sz w:val="22"/>
          <w:szCs w:val="22"/>
        </w:rPr>
        <w:t>4</w:t>
      </w:r>
      <w:r w:rsidR="00636000" w:rsidRPr="008129B2">
        <w:rPr>
          <w:sz w:val="22"/>
          <w:szCs w:val="22"/>
        </w:rPr>
        <w:fldChar w:fldCharType="end"/>
      </w:r>
      <w:r w:rsidRPr="008129B2">
        <w:rPr>
          <w:sz w:val="22"/>
          <w:szCs w:val="22"/>
        </w:rPr>
        <w:t>: Zones de collecte (communes, villages)</w:t>
      </w:r>
    </w:p>
    <w:tbl>
      <w:tblPr>
        <w:tblW w:w="9351" w:type="dxa"/>
        <w:tblCellMar>
          <w:left w:w="70" w:type="dxa"/>
          <w:right w:w="70" w:type="dxa"/>
        </w:tblCellMar>
        <w:tblLook w:val="04A0"/>
      </w:tblPr>
      <w:tblGrid>
        <w:gridCol w:w="2263"/>
        <w:gridCol w:w="2835"/>
        <w:gridCol w:w="4253"/>
      </w:tblGrid>
      <w:tr w:rsidR="00FD09D1" w:rsidRPr="00D71D00" w:rsidTr="000B784B">
        <w:trPr>
          <w:trHeight w:val="300"/>
          <w:tblHeader/>
        </w:trPr>
        <w:tc>
          <w:tcPr>
            <w:tcW w:w="2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b/>
                <w:bCs/>
                <w:color w:val="000000"/>
                <w:lang w:eastAsia="fr-FR"/>
              </w:rPr>
            </w:pPr>
            <w:r w:rsidRPr="00D71D00">
              <w:rPr>
                <w:rFonts w:eastAsia="Times New Roman" w:cs="Times New Roman"/>
                <w:b/>
                <w:bCs/>
                <w:color w:val="000000"/>
                <w:lang w:eastAsia="fr-FR"/>
              </w:rPr>
              <w:t>TYPE D'ELEVAGE</w:t>
            </w:r>
          </w:p>
        </w:tc>
        <w:tc>
          <w:tcPr>
            <w:tcW w:w="2835" w:type="dxa"/>
            <w:tcBorders>
              <w:top w:val="single" w:sz="4" w:space="0" w:color="auto"/>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b/>
                <w:bCs/>
                <w:color w:val="000000"/>
                <w:lang w:eastAsia="fr-FR"/>
              </w:rPr>
            </w:pPr>
            <w:r w:rsidRPr="00D71D00">
              <w:rPr>
                <w:rFonts w:eastAsia="Times New Roman" w:cs="Times New Roman"/>
                <w:b/>
                <w:bCs/>
                <w:color w:val="000000"/>
                <w:lang w:eastAsia="fr-FR"/>
              </w:rPr>
              <w:t>COMMUNES</w:t>
            </w:r>
          </w:p>
        </w:tc>
        <w:tc>
          <w:tcPr>
            <w:tcW w:w="4253" w:type="dxa"/>
            <w:tcBorders>
              <w:top w:val="single" w:sz="4" w:space="0" w:color="auto"/>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b/>
                <w:bCs/>
                <w:color w:val="000000"/>
                <w:lang w:eastAsia="fr-FR"/>
              </w:rPr>
            </w:pPr>
            <w:r w:rsidRPr="00D71D00">
              <w:rPr>
                <w:rFonts w:eastAsia="Times New Roman" w:cs="Times New Roman"/>
                <w:b/>
                <w:bCs/>
                <w:color w:val="000000"/>
                <w:lang w:eastAsia="fr-FR"/>
              </w:rPr>
              <w:t>VILLAGES</w:t>
            </w:r>
          </w:p>
        </w:tc>
      </w:tr>
      <w:tr w:rsidR="00FD09D1" w:rsidRPr="00D71D00" w:rsidTr="000B784B">
        <w:trPr>
          <w:trHeight w:val="300"/>
        </w:trPr>
        <w:tc>
          <w:tcPr>
            <w:tcW w:w="2263" w:type="dxa"/>
            <w:vMerge w:val="restart"/>
            <w:tcBorders>
              <w:top w:val="nil"/>
              <w:left w:val="single" w:sz="4" w:space="0" w:color="auto"/>
              <w:bottom w:val="single" w:sz="4" w:space="0" w:color="auto"/>
              <w:right w:val="single" w:sz="4" w:space="0" w:color="auto"/>
            </w:tcBorders>
            <w:shd w:val="clear" w:color="auto" w:fill="auto"/>
            <w:vAlign w:val="center"/>
            <w:hideMark/>
          </w:tcPr>
          <w:p w:rsidR="00FD09D1" w:rsidRPr="00D71D00" w:rsidRDefault="00FD09D1" w:rsidP="000B784B">
            <w:pPr>
              <w:spacing w:after="0" w:line="240" w:lineRule="auto"/>
              <w:jc w:val="center"/>
              <w:rPr>
                <w:rFonts w:eastAsia="Times New Roman" w:cs="Times New Roman"/>
                <w:color w:val="000000"/>
                <w:lang w:eastAsia="fr-FR"/>
              </w:rPr>
            </w:pPr>
            <w:r w:rsidRPr="00D71D00">
              <w:rPr>
                <w:rFonts w:eastAsia="Times New Roman" w:cs="Times New Roman"/>
                <w:color w:val="000000"/>
                <w:lang w:eastAsia="fr-FR"/>
              </w:rPr>
              <w:t>Zone pastorale (élevage extensif par excellence)</w:t>
            </w:r>
          </w:p>
        </w:tc>
        <w:tc>
          <w:tcPr>
            <w:tcW w:w="283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COM. GALOYA TOUCOULEUR</w:t>
            </w: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DEWODIA</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EGUEL</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KABA</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LIDOUBE</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MEDINA NDIATHBE</w:t>
            </w: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HOUDIABE (DOUNGUEL DADO)</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SARE SOUKI</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SIOURE THIAMBE</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WENDOU BOKI (TANGO)</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OUDALAYE</w:t>
            </w: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DARA SALAM</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GASSE DARO</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SORINGHO</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WOYDOU ALI</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YANG YANG</w:t>
            </w: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DAKHAR MBOUDOU THIOSSANE</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DOGANDOU PEULH</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KADD PEULH</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TONGO</w:t>
            </w:r>
          </w:p>
        </w:tc>
      </w:tr>
      <w:tr w:rsidR="00FD09D1" w:rsidRPr="00D71D00" w:rsidTr="000B784B">
        <w:trPr>
          <w:trHeight w:val="300"/>
        </w:trPr>
        <w:tc>
          <w:tcPr>
            <w:tcW w:w="2263" w:type="dxa"/>
            <w:vMerge w:val="restart"/>
            <w:tcBorders>
              <w:top w:val="nil"/>
              <w:left w:val="single" w:sz="4" w:space="0" w:color="auto"/>
              <w:bottom w:val="single" w:sz="4" w:space="0" w:color="auto"/>
              <w:right w:val="single" w:sz="4" w:space="0" w:color="auto"/>
            </w:tcBorders>
            <w:shd w:val="clear" w:color="auto" w:fill="auto"/>
            <w:vAlign w:val="center"/>
            <w:hideMark/>
          </w:tcPr>
          <w:p w:rsidR="00FD09D1" w:rsidRPr="00D71D00" w:rsidRDefault="00FD09D1" w:rsidP="000B784B">
            <w:pPr>
              <w:spacing w:after="0" w:line="240" w:lineRule="auto"/>
              <w:jc w:val="center"/>
              <w:rPr>
                <w:rFonts w:eastAsia="Times New Roman" w:cs="Times New Roman"/>
                <w:color w:val="000000"/>
                <w:lang w:eastAsia="fr-FR"/>
              </w:rPr>
            </w:pPr>
            <w:r>
              <w:rPr>
                <w:rFonts w:eastAsia="Times New Roman" w:cs="Times New Roman"/>
                <w:color w:val="000000"/>
                <w:lang w:eastAsia="fr-FR"/>
              </w:rPr>
              <w:t>Z</w:t>
            </w:r>
            <w:r w:rsidRPr="00D71D00">
              <w:rPr>
                <w:rFonts w:eastAsia="Times New Roman" w:cs="Times New Roman"/>
                <w:color w:val="000000"/>
                <w:lang w:eastAsia="fr-FR"/>
              </w:rPr>
              <w:t>one agro-pastorale à dominance agricole</w:t>
            </w:r>
          </w:p>
        </w:tc>
        <w:tc>
          <w:tcPr>
            <w:tcW w:w="283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AFFE DJOLOFF</w:t>
            </w: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AFFE DJOLOF</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BARRY PEULH</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DEPRE GALLO</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LEW YEDDI</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COM. ROSSO-SENEGAL</w:t>
            </w: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DIAMAGUENE</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NDIONDO</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ROSSO PEULH</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SANTHIABA II</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DIAMA</w:t>
            </w: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ASSITOYE</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EL BETHIA II</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EL MOHAMED AMAR</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RAYNABE II</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GASSANE</w:t>
            </w: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BELTATY PEULH</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DAROU MARNANE SIBOLE</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SANGUE NDOUR</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TOUBA KHAIRA</w:t>
            </w:r>
          </w:p>
        </w:tc>
      </w:tr>
      <w:tr w:rsidR="00FD09D1" w:rsidRPr="00D71D00" w:rsidTr="000B784B">
        <w:trPr>
          <w:trHeight w:val="300"/>
        </w:trPr>
        <w:tc>
          <w:tcPr>
            <w:tcW w:w="2263" w:type="dxa"/>
            <w:vMerge w:val="restart"/>
            <w:tcBorders>
              <w:top w:val="nil"/>
              <w:left w:val="single" w:sz="4" w:space="0" w:color="auto"/>
              <w:bottom w:val="single" w:sz="4" w:space="0" w:color="auto"/>
              <w:right w:val="single" w:sz="4" w:space="0" w:color="auto"/>
            </w:tcBorders>
            <w:shd w:val="clear" w:color="auto" w:fill="auto"/>
            <w:vAlign w:val="bottom"/>
            <w:hideMark/>
          </w:tcPr>
          <w:p w:rsidR="00FD09D1" w:rsidRPr="00D71D00" w:rsidRDefault="00FD09D1" w:rsidP="000B784B">
            <w:pPr>
              <w:spacing w:after="0" w:line="240" w:lineRule="auto"/>
              <w:jc w:val="center"/>
              <w:rPr>
                <w:rFonts w:eastAsia="Times New Roman" w:cs="Times New Roman"/>
                <w:color w:val="000000"/>
                <w:lang w:eastAsia="fr-FR"/>
              </w:rPr>
            </w:pPr>
            <w:r w:rsidRPr="00D71D00">
              <w:rPr>
                <w:rFonts w:eastAsia="Times New Roman" w:cs="Times New Roman"/>
                <w:color w:val="000000"/>
                <w:lang w:eastAsia="fr-FR"/>
              </w:rPr>
              <w:lastRenderedPageBreak/>
              <w:t>Zone d'élevage d'embouche et commerce du bétail</w:t>
            </w:r>
          </w:p>
        </w:tc>
        <w:tc>
          <w:tcPr>
            <w:tcW w:w="283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COM. KOUMPENTOUM</w:t>
            </w: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ESCALE I</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ESCALE II (GUINAW RAIL)</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KEUR SOCE</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WASSADOU</w:t>
            </w:r>
          </w:p>
        </w:tc>
      </w:tr>
      <w:tr w:rsidR="00FD09D1" w:rsidRPr="00D71D00" w:rsidTr="000B784B">
        <w:trPr>
          <w:trHeight w:val="300"/>
        </w:trPr>
        <w:tc>
          <w:tcPr>
            <w:tcW w:w="2263" w:type="dxa"/>
            <w:vMerge w:val="restart"/>
            <w:tcBorders>
              <w:top w:val="nil"/>
              <w:left w:val="single" w:sz="4" w:space="0" w:color="auto"/>
              <w:bottom w:val="single" w:sz="4" w:space="0" w:color="auto"/>
              <w:right w:val="single" w:sz="4" w:space="0" w:color="auto"/>
            </w:tcBorders>
            <w:shd w:val="clear" w:color="auto" w:fill="auto"/>
            <w:vAlign w:val="bottom"/>
            <w:hideMark/>
          </w:tcPr>
          <w:p w:rsidR="00FD09D1" w:rsidRPr="00D71D00" w:rsidRDefault="00FD09D1" w:rsidP="000B784B">
            <w:pPr>
              <w:spacing w:after="0" w:line="240" w:lineRule="auto"/>
              <w:jc w:val="center"/>
              <w:rPr>
                <w:rFonts w:eastAsia="Times New Roman" w:cs="Times New Roman"/>
                <w:color w:val="000000"/>
                <w:lang w:eastAsia="fr-FR"/>
              </w:rPr>
            </w:pPr>
            <w:r>
              <w:rPr>
                <w:rFonts w:eastAsia="Times New Roman" w:cs="Times New Roman"/>
                <w:color w:val="000000"/>
                <w:lang w:eastAsia="fr-FR"/>
              </w:rPr>
              <w:t>Z</w:t>
            </w:r>
            <w:r w:rsidRPr="00D71D00">
              <w:rPr>
                <w:rFonts w:eastAsia="Times New Roman" w:cs="Times New Roman"/>
                <w:color w:val="000000"/>
                <w:lang w:eastAsia="fr-FR"/>
              </w:rPr>
              <w:t>one agro-pastorale à dominance pastorale</w:t>
            </w:r>
          </w:p>
        </w:tc>
        <w:tc>
          <w:tcPr>
            <w:tcW w:w="283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THIARGNY</w:t>
            </w: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LEPPO LATHIE</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LINDE TIDIANE II</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LOL LOL II</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NAIDE</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VELINGARA</w:t>
            </w: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BOULY BOGUEL</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DAYANE DIABY</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MBONAYE II</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WENDOU THIOMBEL</w:t>
            </w:r>
          </w:p>
        </w:tc>
      </w:tr>
      <w:tr w:rsidR="00FD09D1" w:rsidRPr="00D71D00" w:rsidTr="000B784B">
        <w:trPr>
          <w:trHeight w:val="300"/>
        </w:trPr>
        <w:tc>
          <w:tcPr>
            <w:tcW w:w="2263" w:type="dxa"/>
            <w:vMerge w:val="restart"/>
            <w:tcBorders>
              <w:top w:val="nil"/>
              <w:left w:val="single" w:sz="4" w:space="0" w:color="auto"/>
              <w:bottom w:val="single" w:sz="4" w:space="0" w:color="auto"/>
              <w:right w:val="single" w:sz="4" w:space="0" w:color="auto"/>
            </w:tcBorders>
            <w:shd w:val="clear" w:color="auto" w:fill="auto"/>
            <w:vAlign w:val="center"/>
            <w:hideMark/>
          </w:tcPr>
          <w:p w:rsidR="00FD09D1" w:rsidRPr="00D71D00" w:rsidRDefault="00FD09D1" w:rsidP="000B784B">
            <w:pPr>
              <w:spacing w:after="0" w:line="240" w:lineRule="auto"/>
              <w:rPr>
                <w:rFonts w:eastAsia="Times New Roman" w:cs="Times New Roman"/>
                <w:color w:val="000000"/>
                <w:lang w:eastAsia="fr-FR"/>
              </w:rPr>
            </w:pPr>
            <w:r>
              <w:rPr>
                <w:rFonts w:eastAsia="Times New Roman" w:cs="Times New Roman"/>
                <w:color w:val="000000"/>
                <w:lang w:eastAsia="fr-FR"/>
              </w:rPr>
              <w:t>Z</w:t>
            </w:r>
            <w:r w:rsidRPr="00D71D00">
              <w:rPr>
                <w:rFonts w:eastAsia="Times New Roman" w:cs="Times New Roman"/>
                <w:color w:val="000000"/>
                <w:lang w:eastAsia="fr-FR"/>
              </w:rPr>
              <w:t>one de transit</w:t>
            </w:r>
          </w:p>
        </w:tc>
        <w:tc>
          <w:tcPr>
            <w:tcW w:w="283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OUARKHOH</w:t>
            </w: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DICK OUOLOF</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GUETO</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KLIM PEULH (KLIMBOU)</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SOME DANDE I</w:t>
            </w:r>
          </w:p>
        </w:tc>
      </w:tr>
      <w:tr w:rsidR="00FD09D1" w:rsidRPr="00D71D00" w:rsidTr="000B784B">
        <w:trPr>
          <w:trHeight w:val="300"/>
        </w:trPr>
        <w:tc>
          <w:tcPr>
            <w:tcW w:w="2263" w:type="dxa"/>
            <w:vMerge w:val="restart"/>
            <w:tcBorders>
              <w:top w:val="nil"/>
              <w:left w:val="single" w:sz="4" w:space="0" w:color="auto"/>
              <w:bottom w:val="single" w:sz="4" w:space="0" w:color="auto"/>
              <w:right w:val="single" w:sz="4" w:space="0" w:color="auto"/>
            </w:tcBorders>
            <w:shd w:val="clear" w:color="auto" w:fill="auto"/>
            <w:vAlign w:val="center"/>
            <w:hideMark/>
          </w:tcPr>
          <w:p w:rsidR="00FD09D1" w:rsidRPr="00D71D00" w:rsidRDefault="00FD09D1" w:rsidP="000B784B">
            <w:pPr>
              <w:spacing w:after="0" w:line="240" w:lineRule="auto"/>
              <w:jc w:val="center"/>
              <w:rPr>
                <w:rFonts w:eastAsia="Times New Roman" w:cs="Times New Roman"/>
                <w:color w:val="000000"/>
                <w:lang w:eastAsia="fr-FR"/>
              </w:rPr>
            </w:pPr>
            <w:r>
              <w:rPr>
                <w:rFonts w:eastAsia="Times New Roman" w:cs="Times New Roman"/>
                <w:color w:val="000000"/>
                <w:lang w:eastAsia="fr-FR"/>
              </w:rPr>
              <w:t>Z</w:t>
            </w:r>
            <w:r w:rsidRPr="00D71D00">
              <w:rPr>
                <w:rFonts w:eastAsia="Times New Roman" w:cs="Times New Roman"/>
                <w:color w:val="000000"/>
                <w:lang w:eastAsia="fr-FR"/>
              </w:rPr>
              <w:t>one agro-pastorale par excel</w:t>
            </w:r>
            <w:r>
              <w:rPr>
                <w:rFonts w:eastAsia="Times New Roman" w:cs="Times New Roman"/>
                <w:color w:val="000000"/>
                <w:lang w:eastAsia="fr-FR"/>
              </w:rPr>
              <w:t>l</w:t>
            </w:r>
            <w:r w:rsidRPr="00D71D00">
              <w:rPr>
                <w:rFonts w:eastAsia="Times New Roman" w:cs="Times New Roman"/>
                <w:color w:val="000000"/>
                <w:lang w:eastAsia="fr-FR"/>
              </w:rPr>
              <w:t>ence</w:t>
            </w:r>
          </w:p>
        </w:tc>
        <w:tc>
          <w:tcPr>
            <w:tcW w:w="283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DODEL</w:t>
            </w: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BELLY THIOWY</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SINTHIOU DANGDE</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SINTHIOU IFRA</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SOKOU</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GAMADJI SARE</w:t>
            </w: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DEMBE</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DIARRA</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MANGAYE (OURO MANGOY)</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NGANE</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KOUTHIABA WOLOF</w:t>
            </w: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BOYNGUEL DABY</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KAHENE PEULH (KAHENE DOUNDOU)</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KOUTHIABA PEULH</w:t>
            </w:r>
          </w:p>
        </w:tc>
      </w:tr>
      <w:tr w:rsidR="00FD09D1" w:rsidRPr="00D71D00" w:rsidTr="000B784B">
        <w:trPr>
          <w:trHeight w:val="300"/>
        </w:trPr>
        <w:tc>
          <w:tcPr>
            <w:tcW w:w="2263"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2835" w:type="dxa"/>
            <w:vMerge/>
            <w:tcBorders>
              <w:top w:val="nil"/>
              <w:left w:val="single" w:sz="4" w:space="0" w:color="auto"/>
              <w:bottom w:val="single" w:sz="4" w:space="0" w:color="auto"/>
              <w:right w:val="single" w:sz="4" w:space="0" w:color="auto"/>
            </w:tcBorders>
            <w:vAlign w:val="center"/>
            <w:hideMark/>
          </w:tcPr>
          <w:p w:rsidR="00FD09D1" w:rsidRPr="00D71D00" w:rsidRDefault="00FD09D1" w:rsidP="000B784B">
            <w:pPr>
              <w:spacing w:after="0" w:line="240" w:lineRule="auto"/>
              <w:rPr>
                <w:rFonts w:eastAsia="Times New Roman" w:cs="Times New Roman"/>
                <w:color w:val="000000"/>
                <w:lang w:eastAsia="fr-FR"/>
              </w:rPr>
            </w:pPr>
          </w:p>
        </w:tc>
        <w:tc>
          <w:tcPr>
            <w:tcW w:w="4253" w:type="dxa"/>
            <w:tcBorders>
              <w:top w:val="nil"/>
              <w:left w:val="nil"/>
              <w:bottom w:val="single" w:sz="4" w:space="0" w:color="auto"/>
              <w:right w:val="single" w:sz="4" w:space="0" w:color="auto"/>
            </w:tcBorders>
            <w:shd w:val="clear" w:color="auto" w:fill="auto"/>
            <w:noWrap/>
            <w:vAlign w:val="bottom"/>
            <w:hideMark/>
          </w:tcPr>
          <w:p w:rsidR="00FD09D1" w:rsidRPr="00D71D00" w:rsidRDefault="00FD09D1" w:rsidP="000B784B">
            <w:pPr>
              <w:spacing w:after="0" w:line="240" w:lineRule="auto"/>
              <w:rPr>
                <w:rFonts w:eastAsia="Times New Roman" w:cs="Times New Roman"/>
                <w:color w:val="000000"/>
                <w:lang w:eastAsia="fr-FR"/>
              </w:rPr>
            </w:pPr>
            <w:r w:rsidRPr="00D71D00">
              <w:rPr>
                <w:rFonts w:eastAsia="Times New Roman" w:cs="Times New Roman"/>
                <w:color w:val="000000"/>
                <w:lang w:eastAsia="fr-FR"/>
              </w:rPr>
              <w:t>MISSIRAH PEULH</w:t>
            </w:r>
          </w:p>
        </w:tc>
      </w:tr>
    </w:tbl>
    <w:p w:rsidR="00FD09D1" w:rsidRDefault="00FD09D1" w:rsidP="00FD09D1"/>
    <w:p w:rsidR="001F245B" w:rsidRDefault="001F245B" w:rsidP="00992460"/>
    <w:sectPr w:rsidR="001F245B" w:rsidSect="00636000">
      <w:head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3B33" w:rsidRDefault="00A03B33" w:rsidP="00414766">
      <w:pPr>
        <w:spacing w:after="0" w:line="240" w:lineRule="auto"/>
      </w:pPr>
      <w:r>
        <w:separator/>
      </w:r>
    </w:p>
  </w:endnote>
  <w:endnote w:type="continuationSeparator" w:id="1">
    <w:p w:rsidR="00A03B33" w:rsidRDefault="00A03B33" w:rsidP="004147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3B33" w:rsidRDefault="00A03B33" w:rsidP="00414766">
      <w:pPr>
        <w:spacing w:after="0" w:line="240" w:lineRule="auto"/>
      </w:pPr>
      <w:r>
        <w:separator/>
      </w:r>
    </w:p>
  </w:footnote>
  <w:footnote w:type="continuationSeparator" w:id="1">
    <w:p w:rsidR="00A03B33" w:rsidRDefault="00A03B33" w:rsidP="0041476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766" w:rsidRPr="00414766" w:rsidRDefault="00414766" w:rsidP="00414766">
    <w:pPr>
      <w:pStyle w:val="Header"/>
    </w:pPr>
    <w:r>
      <w:rPr>
        <w:noProof/>
        <w:lang w:eastAsia="fr-FR"/>
      </w:rPr>
      <w:drawing>
        <wp:inline distT="0" distB="0" distL="0" distR="0">
          <wp:extent cx="2200275" cy="982266"/>
          <wp:effectExtent l="0" t="0" r="0" b="889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ipar.jp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28145" cy="994708"/>
                  </a:xfrm>
                  <a:prstGeom prst="rect">
                    <a:avLst/>
                  </a:prstGeom>
                </pic:spPr>
              </pic:pic>
            </a:graphicData>
          </a:graphic>
        </wp:inline>
      </w:drawing>
    </w:r>
    <w:r>
      <w:tab/>
    </w:r>
    <w:r>
      <w:tab/>
    </w:r>
    <w:r>
      <w:rPr>
        <w:noProof/>
        <w:lang w:eastAsia="fr-FR"/>
      </w:rPr>
      <w:drawing>
        <wp:inline distT="0" distB="0" distL="0" distR="0">
          <wp:extent cx="942974" cy="1093304"/>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naas.PNG"/>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963225" cy="1116783"/>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244EAD"/>
    <w:multiLevelType w:val="hybridMultilevel"/>
    <w:tmpl w:val="347CF4D0"/>
    <w:lvl w:ilvl="0" w:tplc="36828F9E">
      <w:start w:val="30"/>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EA26697"/>
    <w:multiLevelType w:val="hybridMultilevel"/>
    <w:tmpl w:val="19C288BC"/>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465F60E5"/>
    <w:multiLevelType w:val="hybridMultilevel"/>
    <w:tmpl w:val="19C288BC"/>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69024F4D"/>
    <w:multiLevelType w:val="hybridMultilevel"/>
    <w:tmpl w:val="3AA89CC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6FFF5919"/>
    <w:multiLevelType w:val="hybridMultilevel"/>
    <w:tmpl w:val="95520ED0"/>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122"/>
  </w:hdrShapeDefaults>
  <w:footnotePr>
    <w:footnote w:id="0"/>
    <w:footnote w:id="1"/>
  </w:footnotePr>
  <w:endnotePr>
    <w:endnote w:id="0"/>
    <w:endnote w:id="1"/>
  </w:endnotePr>
  <w:compat/>
  <w:rsids>
    <w:rsidRoot w:val="00434735"/>
    <w:rsid w:val="00025BC4"/>
    <w:rsid w:val="00037EC5"/>
    <w:rsid w:val="00045FFD"/>
    <w:rsid w:val="000832E8"/>
    <w:rsid w:val="000900C8"/>
    <w:rsid w:val="00097FD2"/>
    <w:rsid w:val="000D12F8"/>
    <w:rsid w:val="000D2B6B"/>
    <w:rsid w:val="00163CE8"/>
    <w:rsid w:val="001F245B"/>
    <w:rsid w:val="002152BC"/>
    <w:rsid w:val="00287E87"/>
    <w:rsid w:val="003075BE"/>
    <w:rsid w:val="00363AD3"/>
    <w:rsid w:val="003E0F91"/>
    <w:rsid w:val="00414766"/>
    <w:rsid w:val="00434735"/>
    <w:rsid w:val="00436BE7"/>
    <w:rsid w:val="00484EB3"/>
    <w:rsid w:val="004C6BBD"/>
    <w:rsid w:val="004F5BFD"/>
    <w:rsid w:val="004F79DF"/>
    <w:rsid w:val="0057306B"/>
    <w:rsid w:val="005B234F"/>
    <w:rsid w:val="005D6A86"/>
    <w:rsid w:val="005D7228"/>
    <w:rsid w:val="00625F1E"/>
    <w:rsid w:val="00636000"/>
    <w:rsid w:val="00655CE4"/>
    <w:rsid w:val="006604E9"/>
    <w:rsid w:val="006950A1"/>
    <w:rsid w:val="006F21D8"/>
    <w:rsid w:val="0072451D"/>
    <w:rsid w:val="00726C87"/>
    <w:rsid w:val="007366FA"/>
    <w:rsid w:val="007622A5"/>
    <w:rsid w:val="0076661E"/>
    <w:rsid w:val="007C7E03"/>
    <w:rsid w:val="00830660"/>
    <w:rsid w:val="00886632"/>
    <w:rsid w:val="008C5638"/>
    <w:rsid w:val="0094543A"/>
    <w:rsid w:val="00982484"/>
    <w:rsid w:val="00992460"/>
    <w:rsid w:val="009B37CF"/>
    <w:rsid w:val="009D69C7"/>
    <w:rsid w:val="00A03B33"/>
    <w:rsid w:val="00A52820"/>
    <w:rsid w:val="00A540A9"/>
    <w:rsid w:val="00AC7BE7"/>
    <w:rsid w:val="00AE3CF5"/>
    <w:rsid w:val="00AF32D6"/>
    <w:rsid w:val="00B028FF"/>
    <w:rsid w:val="00B0497D"/>
    <w:rsid w:val="00B51A5C"/>
    <w:rsid w:val="00B617A9"/>
    <w:rsid w:val="00BE5D43"/>
    <w:rsid w:val="00C0668F"/>
    <w:rsid w:val="00C739B9"/>
    <w:rsid w:val="00CA61A4"/>
    <w:rsid w:val="00CA724A"/>
    <w:rsid w:val="00CC4176"/>
    <w:rsid w:val="00D20DEC"/>
    <w:rsid w:val="00D44CF1"/>
    <w:rsid w:val="00D50C7E"/>
    <w:rsid w:val="00D85D1F"/>
    <w:rsid w:val="00DD31B2"/>
    <w:rsid w:val="00E04115"/>
    <w:rsid w:val="00E46282"/>
    <w:rsid w:val="00E80D74"/>
    <w:rsid w:val="00EB656F"/>
    <w:rsid w:val="00EF03D8"/>
    <w:rsid w:val="00F63FA2"/>
    <w:rsid w:val="00F91F32"/>
    <w:rsid w:val="00FD09D1"/>
    <w:rsid w:val="00FF1D4F"/>
    <w:rsid w:val="00FF3FBD"/>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4735"/>
  </w:style>
  <w:style w:type="paragraph" w:styleId="Heading1">
    <w:name w:val="heading 1"/>
    <w:basedOn w:val="Normal"/>
    <w:next w:val="Normal"/>
    <w:link w:val="Heading1Char"/>
    <w:uiPriority w:val="9"/>
    <w:qFormat/>
    <w:rsid w:val="004347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D09D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735"/>
    <w:rPr>
      <w:rFonts w:asciiTheme="majorHAnsi" w:eastAsiaTheme="majorEastAsia" w:hAnsiTheme="majorHAnsi" w:cstheme="majorBidi"/>
      <w:color w:val="2E74B5" w:themeColor="accent1" w:themeShade="BF"/>
      <w:sz w:val="32"/>
      <w:szCs w:val="32"/>
    </w:rPr>
  </w:style>
  <w:style w:type="paragraph" w:styleId="ListParagraph">
    <w:name w:val="List Paragraph"/>
    <w:aliases w:val="Dot pt,No Spacing1,List Paragraph Char Char Char,Indicator Text,List Paragraph1,Numbered Para 1,List Paragraph12,Bullet Points,MAIN CONTENT,Bullet 1,Colorful List - Accent 11,Paragraph,Numbered paragraph,List Paragraph-ExecSummary"/>
    <w:basedOn w:val="Normal"/>
    <w:link w:val="ListParagraphChar"/>
    <w:uiPriority w:val="34"/>
    <w:qFormat/>
    <w:rsid w:val="00434735"/>
    <w:pPr>
      <w:ind w:left="720"/>
      <w:contextualSpacing/>
    </w:pPr>
  </w:style>
  <w:style w:type="character" w:customStyle="1" w:styleId="ListParagraphChar">
    <w:name w:val="List Paragraph Char"/>
    <w:aliases w:val="Dot pt Char,No Spacing1 Char,List Paragraph Char Char Char Char,Indicator Text Char,List Paragraph1 Char,Numbered Para 1 Char,List Paragraph12 Char,Bullet Points Char,MAIN CONTENT Char,Bullet 1 Char,Colorful List - Accent 11 Char"/>
    <w:link w:val="ListParagraph"/>
    <w:uiPriority w:val="34"/>
    <w:qFormat/>
    <w:locked/>
    <w:rsid w:val="00434735"/>
  </w:style>
  <w:style w:type="table" w:styleId="TableGrid">
    <w:name w:val="Table Grid"/>
    <w:basedOn w:val="TableNormal"/>
    <w:uiPriority w:val="39"/>
    <w:rsid w:val="00CA61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EF03D8"/>
    <w:pPr>
      <w:spacing w:after="200" w:line="240" w:lineRule="auto"/>
    </w:pPr>
    <w:rPr>
      <w:i/>
      <w:iCs/>
      <w:color w:val="44546A" w:themeColor="text2"/>
      <w:sz w:val="18"/>
      <w:szCs w:val="18"/>
    </w:rPr>
  </w:style>
  <w:style w:type="paragraph" w:styleId="Header">
    <w:name w:val="header"/>
    <w:basedOn w:val="Normal"/>
    <w:link w:val="HeaderChar"/>
    <w:uiPriority w:val="99"/>
    <w:unhideWhenUsed/>
    <w:rsid w:val="0041476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14766"/>
  </w:style>
  <w:style w:type="paragraph" w:styleId="Footer">
    <w:name w:val="footer"/>
    <w:basedOn w:val="Normal"/>
    <w:link w:val="FooterChar"/>
    <w:uiPriority w:val="99"/>
    <w:unhideWhenUsed/>
    <w:rsid w:val="0041476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14766"/>
  </w:style>
  <w:style w:type="paragraph" w:styleId="BalloonText">
    <w:name w:val="Balloon Text"/>
    <w:basedOn w:val="Normal"/>
    <w:link w:val="BalloonTextChar"/>
    <w:uiPriority w:val="99"/>
    <w:semiHidden/>
    <w:unhideWhenUsed/>
    <w:rsid w:val="003075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5BE"/>
    <w:rPr>
      <w:rFonts w:ascii="Tahoma" w:hAnsi="Tahoma" w:cs="Tahoma"/>
      <w:sz w:val="16"/>
      <w:szCs w:val="16"/>
    </w:rPr>
  </w:style>
  <w:style w:type="character" w:styleId="CommentReference">
    <w:name w:val="annotation reference"/>
    <w:basedOn w:val="DefaultParagraphFont"/>
    <w:uiPriority w:val="99"/>
    <w:semiHidden/>
    <w:unhideWhenUsed/>
    <w:rsid w:val="003075BE"/>
    <w:rPr>
      <w:sz w:val="16"/>
      <w:szCs w:val="16"/>
    </w:rPr>
  </w:style>
  <w:style w:type="paragraph" w:styleId="CommentText">
    <w:name w:val="annotation text"/>
    <w:basedOn w:val="Normal"/>
    <w:link w:val="CommentTextChar"/>
    <w:uiPriority w:val="99"/>
    <w:semiHidden/>
    <w:unhideWhenUsed/>
    <w:rsid w:val="003075BE"/>
    <w:pPr>
      <w:spacing w:line="240" w:lineRule="auto"/>
    </w:pPr>
    <w:rPr>
      <w:sz w:val="20"/>
      <w:szCs w:val="20"/>
    </w:rPr>
  </w:style>
  <w:style w:type="character" w:customStyle="1" w:styleId="CommentTextChar">
    <w:name w:val="Comment Text Char"/>
    <w:basedOn w:val="DefaultParagraphFont"/>
    <w:link w:val="CommentText"/>
    <w:uiPriority w:val="99"/>
    <w:semiHidden/>
    <w:rsid w:val="003075BE"/>
    <w:rPr>
      <w:sz w:val="20"/>
      <w:szCs w:val="20"/>
    </w:rPr>
  </w:style>
  <w:style w:type="paragraph" w:styleId="CommentSubject">
    <w:name w:val="annotation subject"/>
    <w:basedOn w:val="CommentText"/>
    <w:next w:val="CommentText"/>
    <w:link w:val="CommentSubjectChar"/>
    <w:uiPriority w:val="99"/>
    <w:semiHidden/>
    <w:unhideWhenUsed/>
    <w:rsid w:val="003075BE"/>
    <w:rPr>
      <w:b/>
      <w:bCs/>
    </w:rPr>
  </w:style>
  <w:style w:type="character" w:customStyle="1" w:styleId="CommentSubjectChar">
    <w:name w:val="Comment Subject Char"/>
    <w:basedOn w:val="CommentTextChar"/>
    <w:link w:val="CommentSubject"/>
    <w:uiPriority w:val="99"/>
    <w:semiHidden/>
    <w:rsid w:val="003075BE"/>
    <w:rPr>
      <w:b/>
      <w:bCs/>
      <w:sz w:val="20"/>
      <w:szCs w:val="20"/>
    </w:rPr>
  </w:style>
  <w:style w:type="character" w:customStyle="1" w:styleId="Heading2Char">
    <w:name w:val="Heading 2 Char"/>
    <w:basedOn w:val="DefaultParagraphFont"/>
    <w:link w:val="Heading2"/>
    <w:uiPriority w:val="9"/>
    <w:rsid w:val="00FD09D1"/>
    <w:rPr>
      <w:rFonts w:asciiTheme="majorHAnsi" w:eastAsiaTheme="majorEastAsia" w:hAnsiTheme="majorHAnsi" w:cstheme="majorBidi"/>
      <w:color w:val="2E74B5" w:themeColor="accent1" w:themeShade="BF"/>
      <w:sz w:val="26"/>
      <w:szCs w:val="26"/>
    </w:rPr>
  </w:style>
</w:styles>
</file>

<file path=word/webSettings.xml><?xml version="1.0" encoding="utf-8"?>
<w:webSettings xmlns:r="http://schemas.openxmlformats.org/officeDocument/2006/relationships" xmlns:w="http://schemas.openxmlformats.org/wordprocessingml/2006/main">
  <w:divs>
    <w:div w:id="88086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1873</Words>
  <Characters>10307</Characters>
  <Application>Microsoft Office Word</Application>
  <DocSecurity>0</DocSecurity>
  <Lines>85</Lines>
  <Paragraphs>24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dc:creator>
  <cp:lastModifiedBy>Utilisateur Windows</cp:lastModifiedBy>
  <cp:revision>3</cp:revision>
  <dcterms:created xsi:type="dcterms:W3CDTF">2019-07-05T10:50:00Z</dcterms:created>
  <dcterms:modified xsi:type="dcterms:W3CDTF">2020-03-10T17:16:00Z</dcterms:modified>
</cp:coreProperties>
</file>