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42.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3.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4.xml" ContentType="application/vnd.openxmlformats-officedocument.drawingml.chart+xml"/>
  <Override PartName="/word/charts/style44.xml" ContentType="application/vnd.ms-office.chartstyle+xml"/>
  <Override PartName="/word/charts/colors44.xml" ContentType="application/vnd.ms-office.chartcolorstyle+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chartEx1.xml" ContentType="application/vnd.ms-office.chartex+xml"/>
  <Override PartName="/word/charts/colors110.xml" ContentType="application/vnd.ms-office.chartcolorstyle+xml"/>
  <Override PartName="/word/charts/style110.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ABCE04" w14:textId="37DA8585" w:rsidR="00C24EA1" w:rsidRDefault="008B4BAA" w:rsidP="00C24EA1">
      <w:pPr>
        <w:spacing w:after="0"/>
        <w:ind w:firstLine="708"/>
        <w:jc w:val="center"/>
        <w:rPr>
          <w:b/>
          <w:sz w:val="32"/>
          <w:szCs w:val="32"/>
        </w:rPr>
      </w:pPr>
      <w:r>
        <w:rPr>
          <w:rFonts w:ascii="Cambria" w:hAnsi="Cambria"/>
          <w:noProof/>
          <w:color w:val="5B9BD5"/>
          <w:lang w:eastAsia="fr-FR"/>
        </w:rPr>
        <mc:AlternateContent>
          <mc:Choice Requires="wpg">
            <w:drawing>
              <wp:anchor distT="0" distB="0" distL="114300" distR="114300" simplePos="0" relativeHeight="251659264" behindDoc="0" locked="0" layoutInCell="1" allowOverlap="1" wp14:anchorId="0EB11AFB" wp14:editId="4F74AE38">
                <wp:simplePos x="0" y="0"/>
                <wp:positionH relativeFrom="column">
                  <wp:posOffset>-4379595</wp:posOffset>
                </wp:positionH>
                <wp:positionV relativeFrom="paragraph">
                  <wp:posOffset>-6837045</wp:posOffset>
                </wp:positionV>
                <wp:extent cx="10925175" cy="21600160"/>
                <wp:effectExtent l="114300" t="38100" r="0" b="307340"/>
                <wp:wrapNone/>
                <wp:docPr id="22" name="Gruppo 32"/>
                <wp:cNvGraphicFramePr/>
                <a:graphic xmlns:a="http://schemas.openxmlformats.org/drawingml/2006/main">
                  <a:graphicData uri="http://schemas.microsoft.com/office/word/2010/wordprocessingGroup">
                    <wpg:wgp>
                      <wpg:cNvGrpSpPr/>
                      <wpg:grpSpPr>
                        <a:xfrm>
                          <a:off x="0" y="0"/>
                          <a:ext cx="10925175" cy="21600160"/>
                          <a:chOff x="0" y="0"/>
                          <a:chExt cx="10926015" cy="21600435"/>
                        </a:xfrm>
                      </wpg:grpSpPr>
                      <wpg:grpSp>
                        <wpg:cNvPr id="25" name="Gruppo 31"/>
                        <wpg:cNvGrpSpPr/>
                        <wpg:grpSpPr>
                          <a:xfrm>
                            <a:off x="0" y="0"/>
                            <a:ext cx="10504342" cy="21600435"/>
                            <a:chOff x="0" y="0"/>
                            <a:chExt cx="10504342" cy="21600435"/>
                          </a:xfrm>
                        </wpg:grpSpPr>
                        <wpg:grpSp>
                          <wpg:cNvPr id="26" name="Gruppo 28"/>
                          <wpg:cNvGrpSpPr/>
                          <wpg:grpSpPr>
                            <a:xfrm>
                              <a:off x="0" y="0"/>
                              <a:ext cx="10014101" cy="21600435"/>
                              <a:chOff x="0" y="0"/>
                              <a:chExt cx="10014101" cy="21600435"/>
                            </a:xfrm>
                          </wpg:grpSpPr>
                          <wps:wsp>
                            <wps:cNvPr id="27" name="AutoShape 19"/>
                            <wps:cNvSpPr>
                              <a:spLocks noChangeArrowheads="1"/>
                            </wps:cNvSpPr>
                            <wps:spPr bwMode="auto">
                              <a:xfrm rot="5400000">
                                <a:off x="-5056187" y="5056187"/>
                                <a:ext cx="20115530" cy="10003155"/>
                              </a:xfrm>
                              <a:prstGeom prst="triangle">
                                <a:avLst>
                                  <a:gd name="adj" fmla="val 50000"/>
                                </a:avLst>
                              </a:prstGeom>
                              <a:solidFill>
                                <a:schemeClr val="accent1">
                                  <a:lumMod val="20000"/>
                                  <a:lumOff val="80000"/>
                                </a:schemeClr>
                              </a:solidFill>
                              <a:ln w="9525">
                                <a:solidFill>
                                  <a:srgbClr val="000000"/>
                                </a:solidFill>
                                <a:miter lim="800000"/>
                                <a:headEnd/>
                                <a:tailEnd/>
                              </a:ln>
                              <a:effectLst>
                                <a:outerShdw blurRad="50800" dist="38100" dir="5400000" sx="101000" sy="101000" algn="t" rotWithShape="0">
                                  <a:prstClr val="black">
                                    <a:alpha val="40000"/>
                                  </a:prstClr>
                                </a:outerShdw>
                              </a:effectLst>
                            </wps:spPr>
                            <wps:bodyPr rot="0" vert="horz" wrap="square" lIns="91440" tIns="45720" rIns="91440" bIns="45720" anchor="t" anchorCtr="0" upright="1">
                              <a:noAutofit/>
                            </wps:bodyPr>
                          </wps:wsp>
                          <wps:wsp>
                            <wps:cNvPr id="29" name="AutoShape 15"/>
                            <wps:cNvSpPr>
                              <a:spLocks noChangeArrowheads="1"/>
                            </wps:cNvSpPr>
                            <wps:spPr bwMode="auto">
                              <a:xfrm rot="5400000">
                                <a:off x="-5045241" y="6541092"/>
                                <a:ext cx="20115530" cy="10003155"/>
                              </a:xfrm>
                              <a:prstGeom prst="triangle">
                                <a:avLst>
                                  <a:gd name="adj" fmla="val 50000"/>
                                </a:avLst>
                              </a:prstGeom>
                              <a:solidFill>
                                <a:schemeClr val="accent1">
                                  <a:lumMod val="60000"/>
                                  <a:lumOff val="40000"/>
                                </a:schemeClr>
                              </a:solidFill>
                              <a:ln>
                                <a:noFill/>
                              </a:ln>
                              <a:effectLst>
                                <a:outerShdw blurRad="50800" dist="38100" dir="5400000" sx="101000" sy="101000" algn="t" rotWithShape="0">
                                  <a:prstClr val="black">
                                    <a:alpha val="40000"/>
                                  </a:prstClr>
                                </a:outerShdw>
                              </a:effectLst>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39" name="Group 23"/>
                            <wpg:cNvGrpSpPr>
                              <a:grpSpLocks/>
                            </wpg:cNvGrpSpPr>
                            <wpg:grpSpPr bwMode="auto">
                              <a:xfrm>
                                <a:off x="2576072" y="8380587"/>
                                <a:ext cx="6140450" cy="8502015"/>
                                <a:chOff x="-1205" y="5335"/>
                                <a:chExt cx="8297" cy="11492"/>
                              </a:xfrm>
                              <a:effectLst>
                                <a:outerShdw blurRad="63500" sx="102000" sy="102000" algn="ctr" rotWithShape="0">
                                  <a:prstClr val="black">
                                    <a:alpha val="30000"/>
                                  </a:prstClr>
                                </a:outerShdw>
                              </a:effectLst>
                            </wpg:grpSpPr>
                            <wps:wsp>
                              <wps:cNvPr id="41" name="AutoShape 20"/>
                              <wps:cNvSpPr>
                                <a:spLocks noChangeArrowheads="1"/>
                              </wps:cNvSpPr>
                              <wps:spPr bwMode="auto">
                                <a:xfrm rot="5400000">
                                  <a:off x="-1544" y="8191"/>
                                  <a:ext cx="11492" cy="5780"/>
                                </a:xfrm>
                                <a:prstGeom prst="triangle">
                                  <a:avLst>
                                    <a:gd name="adj" fmla="val 50000"/>
                                  </a:avLst>
                                </a:prstGeom>
                                <a:solidFill>
                                  <a:schemeClr val="accent1">
                                    <a:lumMod val="40000"/>
                                    <a:lumOff val="6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Rectangle 21"/>
                              <wps:cNvSpPr>
                                <a:spLocks noChangeArrowheads="1"/>
                              </wps:cNvSpPr>
                              <wps:spPr bwMode="auto">
                                <a:xfrm>
                                  <a:off x="-1205" y="5346"/>
                                  <a:ext cx="2537" cy="11460"/>
                                </a:xfrm>
                                <a:prstGeom prst="rect">
                                  <a:avLst/>
                                </a:prstGeom>
                                <a:solidFill>
                                  <a:schemeClr val="accent1">
                                    <a:lumMod val="40000"/>
                                    <a:lumOff val="6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3" name="AutoShape 22"/>
                            <wps:cNvSpPr>
                              <a:spLocks noChangeArrowheads="1"/>
                            </wps:cNvSpPr>
                            <wps:spPr bwMode="auto">
                              <a:xfrm rot="5400000">
                                <a:off x="1360393" y="10500933"/>
                                <a:ext cx="8502015" cy="4277360"/>
                              </a:xfrm>
                              <a:prstGeom prst="triangle">
                                <a:avLst>
                                  <a:gd name="adj" fmla="val 50000"/>
                                </a:avLst>
                              </a:prstGeom>
                              <a:solidFill>
                                <a:schemeClr val="bg1">
                                  <a:lumMod val="100000"/>
                                  <a:lumOff val="0"/>
                                </a:schemeClr>
                              </a:solidFill>
                              <a:ln>
                                <a:noFill/>
                              </a:ln>
                              <a:effectLst>
                                <a:outerShdw blurRad="63500" sx="107000" sy="107000" algn="ctr" rotWithShape="0">
                                  <a:prstClr val="black">
                                    <a:alpha val="24000"/>
                                  </a:prstClr>
                                </a:outerShdw>
                              </a:effectLst>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4" name="Casella di testo 2"/>
                          <wps:cNvSpPr txBox="1">
                            <a:spLocks noChangeArrowheads="1"/>
                          </wps:cNvSpPr>
                          <wps:spPr bwMode="auto">
                            <a:xfrm>
                              <a:off x="4128307" y="7342075"/>
                              <a:ext cx="6376035" cy="1910715"/>
                            </a:xfrm>
                            <a:prstGeom prst="rect">
                              <a:avLst/>
                            </a:prstGeom>
                            <a:solidFill>
                              <a:schemeClr val="bg1"/>
                            </a:solidFill>
                            <a:ln w="9525">
                              <a:noFill/>
                              <a:miter lim="800000"/>
                              <a:headEnd/>
                              <a:tailEnd/>
                            </a:ln>
                            <a:effectLst>
                              <a:outerShdw blurRad="63500" sx="102000" sy="102000" algn="ctr" rotWithShape="0">
                                <a:prstClr val="black">
                                  <a:alpha val="40000"/>
                                </a:prstClr>
                              </a:outerShdw>
                            </a:effectLst>
                          </wps:spPr>
                          <wps:txbx>
                            <w:txbxContent>
                              <w:p w14:paraId="71EF8276" w14:textId="77777777" w:rsidR="00FA04A9" w:rsidRPr="00651513" w:rsidRDefault="00FA04A9" w:rsidP="00651513">
                                <w:pPr>
                                  <w:jc w:val="center"/>
                                  <w:rPr>
                                    <w:rFonts w:ascii="Copperplate Gothic Light" w:hAnsi="Copperplate Gothic Light"/>
                                    <w:b/>
                                    <w:sz w:val="54"/>
                                    <w:szCs w:val="5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1513">
                                  <w:rPr>
                                    <w:rFonts w:ascii="Copperplate Gothic Light" w:hAnsi="Copperplate Gothic Light"/>
                                    <w:b/>
                                    <w:sz w:val="54"/>
                                    <w:szCs w:val="5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ETUDE SUR LA PERCEPTION DES ELEVEURS PASTORAUX SUR L’ASSURANCE INDICIELLE BETAIL AU SENEGAL</w:t>
                                </w:r>
                              </w:p>
                              <w:p w14:paraId="4F14B966" w14:textId="77777777" w:rsidR="00FA04A9" w:rsidRDefault="00FA04A9" w:rsidP="00651513"/>
                            </w:txbxContent>
                          </wps:txbx>
                          <wps:bodyPr rot="0" vert="horz" wrap="square" lIns="91440" tIns="45720" rIns="91440" bIns="45720" anchor="t" anchorCtr="0">
                            <a:noAutofit/>
                          </wps:bodyPr>
                        </wps:wsp>
                        <wps:wsp>
                          <wps:cNvPr id="45" name="Casella di testo 2"/>
                          <wps:cNvSpPr txBox="1">
                            <a:spLocks noChangeArrowheads="1"/>
                          </wps:cNvSpPr>
                          <wps:spPr bwMode="auto">
                            <a:xfrm>
                              <a:off x="3499086" y="11306293"/>
                              <a:ext cx="3269667" cy="2584509"/>
                            </a:xfrm>
                            <a:prstGeom prst="rect">
                              <a:avLst/>
                            </a:prstGeom>
                            <a:noFill/>
                            <a:ln w="9525">
                              <a:noFill/>
                              <a:miter lim="800000"/>
                              <a:headEnd/>
                              <a:tailEnd/>
                            </a:ln>
                          </wps:spPr>
                          <wps:txbx>
                            <w:txbxContent>
                              <w:p w14:paraId="5616D3CF" w14:textId="54F21C24" w:rsidR="00FA04A9" w:rsidRPr="00B16CF6" w:rsidRDefault="00FA04A9" w:rsidP="00651513">
                                <w:pPr>
                                  <w:rPr>
                                    <w:rFonts w:ascii="Arial Narrow" w:hAnsi="Arial Narrow"/>
                                    <w:b/>
                                    <w:sz w:val="48"/>
                                    <w:szCs w:val="48"/>
                                    <w:lang w:val="en-GB"/>
                                  </w:rPr>
                                </w:pPr>
                                <w:r w:rsidRPr="00B16CF6">
                                  <w:rPr>
                                    <w:rFonts w:ascii="Arial Narrow" w:hAnsi="Arial Narrow"/>
                                    <w:b/>
                                    <w:sz w:val="48"/>
                                    <w:szCs w:val="48"/>
                                    <w:lang w:val="en-GB"/>
                                  </w:rPr>
                                  <w:t>Building Resilience and Adaptation to Climate Extremes and Disasters (BRACED)</w:t>
                                </w:r>
                              </w:p>
                              <w:p w14:paraId="44C8909A" w14:textId="6D5E6DC4" w:rsidR="00FA04A9" w:rsidRPr="0018632A" w:rsidRDefault="00FA04A9" w:rsidP="00651513">
                                <w:pPr>
                                  <w:rPr>
                                    <w:rFonts w:ascii="Arial Narrow" w:hAnsi="Arial Narrow"/>
                                    <w:b/>
                                    <w:sz w:val="40"/>
                                    <w:szCs w:val="40"/>
                                  </w:rPr>
                                </w:pPr>
                                <w:r>
                                  <w:rPr>
                                    <w:rFonts w:ascii="Arial Narrow" w:hAnsi="Arial Narrow"/>
                                    <w:sz w:val="40"/>
                                    <w:szCs w:val="40"/>
                                  </w:rPr>
                                  <w:t>INITIATIVE PROSPECTIVE AGRICOLE ET RURALE (IPAR)</w:t>
                                </w:r>
                              </w:p>
                            </w:txbxContent>
                          </wps:txbx>
                          <wps:bodyPr rot="0" vert="horz" wrap="square" lIns="91440" tIns="45720" rIns="91440" bIns="45720" anchor="t" anchorCtr="0">
                            <a:noAutofit/>
                          </wps:bodyPr>
                        </wps:wsp>
                        <wps:wsp>
                          <wps:cNvPr id="46" name="Casella di testo 2"/>
                          <wps:cNvSpPr txBox="1">
                            <a:spLocks noChangeArrowheads="1"/>
                          </wps:cNvSpPr>
                          <wps:spPr bwMode="auto">
                            <a:xfrm>
                              <a:off x="3521682" y="14822686"/>
                              <a:ext cx="1610483" cy="579761"/>
                            </a:xfrm>
                            <a:prstGeom prst="rect">
                              <a:avLst/>
                            </a:prstGeom>
                            <a:noFill/>
                            <a:ln w="9525">
                              <a:noFill/>
                              <a:miter lim="800000"/>
                              <a:headEnd/>
                              <a:tailEnd/>
                            </a:ln>
                          </wps:spPr>
                          <wps:txbx>
                            <w:txbxContent>
                              <w:p w14:paraId="52797F4F" w14:textId="6DE3386C" w:rsidR="00FA04A9" w:rsidRPr="001A0B97" w:rsidRDefault="00FA04A9" w:rsidP="00651513">
                                <w:pPr>
                                  <w:rPr>
                                    <w:rFonts w:ascii="Arial Narrow" w:hAnsi="Arial Narrow"/>
                                    <w:b/>
                                    <w:color w:val="1C7B7A"/>
                                    <w:sz w:val="40"/>
                                    <w:szCs w:val="40"/>
                                    <w:lang w:val="it-IT"/>
                                  </w:rPr>
                                </w:pPr>
                                <w:r>
                                  <w:rPr>
                                    <w:rFonts w:ascii="Arial Narrow" w:hAnsi="Arial Narrow"/>
                                    <w:b/>
                                    <w:color w:val="1C7B7A"/>
                                    <w:sz w:val="48"/>
                                    <w:szCs w:val="48"/>
                                    <w:lang w:val="it-IT"/>
                                  </w:rPr>
                                  <w:t>Août</w:t>
                                </w:r>
                                <w:r w:rsidRPr="001A0B97">
                                  <w:rPr>
                                    <w:rFonts w:ascii="Arial Narrow" w:hAnsi="Arial Narrow"/>
                                    <w:b/>
                                    <w:color w:val="1C7B7A"/>
                                    <w:sz w:val="48"/>
                                    <w:szCs w:val="48"/>
                                    <w:lang w:val="it-IT"/>
                                  </w:rPr>
                                  <w:t xml:space="preserve"> 2019</w:t>
                                </w:r>
                              </w:p>
                            </w:txbxContent>
                          </wps:txbx>
                          <wps:bodyPr rot="0" vert="horz" wrap="square" lIns="91440" tIns="45720" rIns="91440" bIns="45720" anchor="t" anchorCtr="0">
                            <a:spAutoFit/>
                          </wps:bodyPr>
                        </wps:wsp>
                      </wpg:grpSp>
                      <wps:wsp>
                        <wps:cNvPr id="47" name="Casella di testo 2"/>
                        <wps:cNvSpPr txBox="1">
                          <a:spLocks noChangeArrowheads="1"/>
                        </wps:cNvSpPr>
                        <wps:spPr bwMode="auto">
                          <a:xfrm>
                            <a:off x="7963155" y="13716175"/>
                            <a:ext cx="2962860" cy="2819436"/>
                          </a:xfrm>
                          <a:prstGeom prst="rect">
                            <a:avLst/>
                          </a:prstGeom>
                          <a:noFill/>
                          <a:ln w="9525">
                            <a:noFill/>
                            <a:miter lim="800000"/>
                            <a:headEnd/>
                            <a:tailEnd/>
                          </a:ln>
                          <a:effectLst>
                            <a:outerShdw blurRad="63500" sx="102000" sy="102000" algn="ctr" rotWithShape="0">
                              <a:prstClr val="black">
                                <a:alpha val="40000"/>
                              </a:prstClr>
                            </a:outerShdw>
                          </a:effectLst>
                        </wps:spPr>
                        <wps:txbx>
                          <w:txbxContent>
                            <w:p w14:paraId="4F013CA7" w14:textId="119F9CAB" w:rsidR="00FA04A9" w:rsidRDefault="00FA04A9" w:rsidP="00651513">
                              <w:pPr>
                                <w:rPr>
                                  <w:rFonts w:ascii="Bahnschrift SemiBold" w:hAnsi="Bahnschrift SemiBold"/>
                                  <w:color w:val="404040" w:themeColor="text1" w:themeTint="BF"/>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CE61E4" w14:textId="77777777" w:rsidR="00FA04A9" w:rsidRPr="00F52870" w:rsidRDefault="00FA04A9" w:rsidP="00651513">
                              <w:pPr>
                                <w:rPr>
                                  <w:rFonts w:ascii="Bahnschrift SemiBold" w:hAnsi="Bahnschrift SemiBold"/>
                                  <w:color w:val="404040" w:themeColor="text1" w:themeTint="BF"/>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ahnschrift SemiBold" w:hAnsi="Bahnschrift SemiBold"/>
                                  <w:noProof/>
                                  <w:color w:val="404040" w:themeColor="text1" w:themeTint="BF"/>
                                  <w:sz w:val="56"/>
                                  <w:szCs w:val="56"/>
                                  <w:lang w:eastAsia="fr-FR"/>
                                </w:rPr>
                                <w:drawing>
                                  <wp:inline distT="0" distB="0" distL="0" distR="0" wp14:anchorId="35F01500" wp14:editId="56628062">
                                    <wp:extent cx="1253490" cy="1154430"/>
                                    <wp:effectExtent l="76200" t="76200" r="80010" b="83820"/>
                                    <wp:docPr id="202" name="Immagin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BRACED_RoundelGreen.jpg"/>
                                            <pic:cNvPicPr/>
                                          </pic:nvPicPr>
                                          <pic:blipFill>
                                            <a:blip r:embed="rId8">
                                              <a:extLst>
                                                <a:ext uri="{28A0092B-C50C-407E-A947-70E740481C1C}">
                                                  <a14:useLocalDpi xmlns:a14="http://schemas.microsoft.com/office/drawing/2010/main" val="0"/>
                                                </a:ext>
                                              </a:extLst>
                                            </a:blip>
                                            <a:stretch>
                                              <a:fillRect/>
                                            </a:stretch>
                                          </pic:blipFill>
                                          <pic:spPr>
                                            <a:xfrm>
                                              <a:off x="0" y="0"/>
                                              <a:ext cx="1253490" cy="1154430"/>
                                            </a:xfrm>
                                            <a:prstGeom prst="rect">
                                              <a:avLst/>
                                            </a:prstGeom>
                                            <a:ln>
                                              <a:noFill/>
                                            </a:ln>
                                            <a:effectLst>
                                              <a:outerShdw blurRad="63500" sx="102000" sy="102000" algn="ctr" rotWithShape="0">
                                                <a:prstClr val="black">
                                                  <a:alpha val="40000"/>
                                                </a:prstClr>
                                              </a:outerShdw>
                                              <a:softEdge rad="12700"/>
                                            </a:effectLst>
                                          </pic:spPr>
                                        </pic:pic>
                                      </a:graphicData>
                                    </a:graphic>
                                  </wp:inline>
                                </w:drawing>
                              </w:r>
                              <w:r>
                                <w:rPr>
                                  <w:rFonts w:ascii="Bahnschrift SemiBold" w:hAnsi="Bahnschrift SemiBold"/>
                                  <w:color w:val="404040" w:themeColor="text1" w:themeTint="BF"/>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Bahnschrift SemiBold" w:hAnsi="Bahnschrift SemiBold"/>
                                  <w:noProof/>
                                  <w:color w:val="404040" w:themeColor="text1" w:themeTint="BF"/>
                                  <w:sz w:val="56"/>
                                  <w:szCs w:val="56"/>
                                  <w:lang w:eastAsia="fr-FR"/>
                                </w:rPr>
                                <w:drawing>
                                  <wp:inline distT="0" distB="0" distL="0" distR="0" wp14:anchorId="1BE41236" wp14:editId="179B5698">
                                    <wp:extent cx="1090930" cy="1154430"/>
                                    <wp:effectExtent l="76200" t="76200" r="71120" b="83820"/>
                                    <wp:docPr id="203" name="Im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UK AID - Standard - 4C.jpg"/>
                                            <pic:cNvPicPr/>
                                          </pic:nvPicPr>
                                          <pic:blipFill>
                                            <a:blip r:embed="rId9">
                                              <a:extLst>
                                                <a:ext uri="{28A0092B-C50C-407E-A947-70E740481C1C}">
                                                  <a14:useLocalDpi xmlns:a14="http://schemas.microsoft.com/office/drawing/2010/main" val="0"/>
                                                </a:ext>
                                              </a:extLst>
                                            </a:blip>
                                            <a:stretch>
                                              <a:fillRect/>
                                            </a:stretch>
                                          </pic:blipFill>
                                          <pic:spPr>
                                            <a:xfrm>
                                              <a:off x="0" y="0"/>
                                              <a:ext cx="1090930" cy="1154430"/>
                                            </a:xfrm>
                                            <a:prstGeom prst="rect">
                                              <a:avLst/>
                                            </a:prstGeom>
                                            <a:noFill/>
                                            <a:ln>
                                              <a:noFill/>
                                            </a:ln>
                                            <a:effectLst>
                                              <a:outerShdw blurRad="63500" sx="102000" sy="102000" algn="ctr" rotWithShape="0">
                                                <a:prstClr val="black">
                                                  <a:alpha val="40000"/>
                                                </a:prstClr>
                                              </a:outerShdw>
                                            </a:effectLst>
                                          </pic:spPr>
                                        </pic:pic>
                                      </a:graphicData>
                                    </a:graphic>
                                  </wp:inline>
                                </w:drawing>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group w14:anchorId="0EB11AFB" id="Gruppo 32" o:spid="_x0000_s1026" style="position:absolute;left:0;text-align:left;margin-left:-344.85pt;margin-top:-538.35pt;width:860.25pt;height:1700.8pt;z-index:251659264;mso-width-relative:margin" coordsize="109260,216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">
                <v:group id="Gruppo 31" o:spid="_x0000_s1027" style="position:absolute;width:105043;height:216004" coordsize="105043,216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Gruppo 28" o:spid="_x0000_s1028" style="position:absolute;width:100141;height:216004" coordsize="100141,216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9" o:spid="_x0000_s1029" type="#_x0000_t5" style="position:absolute;left:-50562;top:50562;width:201155;height:10003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" fillcolor="#deeaf6 [660]">
                      <v:shadow on="t" type="perspective" color="black" opacity="26214f" origin=",-.5" offset="0,3pt" matrix="66191f,,,66191f"/>
                    </v:shape>
                    <v:shape id="AutoShape 15" o:spid="_x0000_s1030" type="#_x0000_t5" style="position:absolute;left:-50453;top:65411;width:201155;height:10003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" fillcolor="#9cc2e5 [1940]" stroked="f">
                      <v:shadow on="t" type="perspective" color="black" opacity="26214f" origin=",-.5" offset="0,3pt" matrix="66191f,,,66191f"/>
                    </v:shape>
                    <v:group id="Group 23" o:spid="_x0000_s1031" style="position:absolute;left:25760;top:83805;width:61405;height:85021" coordorigin="-1205,5335" coordsize="8297,1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AutoShape 20" o:spid="_x0000_s1032" type="#_x0000_t5" style="position:absolute;left:-1544;top:8191;width:11492;height:57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" fillcolor="#bdd6ee [1300]" stroked="f"/>
                      <v:rect id="Rectangle 21" o:spid="_x0000_s1033" style="position:absolute;left:-1205;top:5346;width:2537;height:1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" fillcolor="#bdd6ee [1300]" stroked="f"/>
                    </v:group>
                    <v:shape id="AutoShape 22" o:spid="_x0000_s1034" type="#_x0000_t5" style="position:absolute;left:13604;top:105009;width:85020;height:4277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" fillcolor="white [3212]" stroked="f">
                      <v:shadow on="t" type="perspective" color="black" opacity="15728f" offset="0,0" matrix="70124f,,,70124f"/>
                    </v:shape>
                  </v:group>
                  <v:shapetype id="_x0000_t202" coordsize="21600,21600" o:spt="202" path="m,l,21600r21600,l21600,xe">
                    <v:stroke joinstyle="miter"/>
                    <v:path gradientshapeok="t" o:connecttype="rect"/>
                  </v:shapetype>
                  <v:shape id="Casella di testo 2" o:spid="_x0000_s1035" type="#_x0000_t202" style="position:absolute;left:41283;top:73420;width:63760;height:19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" fillcolor="white [3212]" stroked="f">
                    <v:shadow on="t" type="perspective" color="black" opacity="26214f" offset="0,0" matrix="66847f,,,66847f"/>
                    <v:textbox>
                      <w:txbxContent>
                        <w:p w14:paraId="71EF8276" w14:textId="77777777" w:rsidR="00FA04A9" w:rsidRPr="00651513" w:rsidRDefault="00FA04A9" w:rsidP="00651513">
                          <w:pPr>
                            <w:jc w:val="center"/>
                            <w:rPr>
                              <w:rFonts w:ascii="Copperplate Gothic Light" w:hAnsi="Copperplate Gothic Light"/>
                              <w:b/>
                              <w:sz w:val="54"/>
                              <w:szCs w:val="5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1513">
                            <w:rPr>
                              <w:rFonts w:ascii="Copperplate Gothic Light" w:hAnsi="Copperplate Gothic Light"/>
                              <w:b/>
                              <w:sz w:val="54"/>
                              <w:szCs w:val="5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ETUDE SUR LA PERCEPTION DES ELEVEURS PASTORAUX SUR L’ASSURANCE INDICIELLE BETAIL AU SENEGAL</w:t>
                          </w:r>
                        </w:p>
                        <w:p w14:paraId="4F14B966" w14:textId="77777777" w:rsidR="00FA04A9" w:rsidRDefault="00FA04A9" w:rsidP="00651513"/>
                      </w:txbxContent>
                    </v:textbox>
                  </v:shape>
                  <v:shape id="Casella di testo 2" o:spid="_x0000_s1036" type="#_x0000_t202" style="position:absolute;left:34990;top:113062;width:32697;height:25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5616D3CF" w14:textId="54F21C24" w:rsidR="00FA04A9" w:rsidRPr="00B16CF6" w:rsidRDefault="00FA04A9" w:rsidP="00651513">
                          <w:pPr>
                            <w:rPr>
                              <w:rFonts w:ascii="Arial Narrow" w:hAnsi="Arial Narrow"/>
                              <w:b/>
                              <w:sz w:val="48"/>
                              <w:szCs w:val="48"/>
                              <w:lang w:val="en-GB"/>
                            </w:rPr>
                          </w:pPr>
                          <w:r w:rsidRPr="00B16CF6">
                            <w:rPr>
                              <w:rFonts w:ascii="Arial Narrow" w:hAnsi="Arial Narrow"/>
                              <w:b/>
                              <w:sz w:val="48"/>
                              <w:szCs w:val="48"/>
                              <w:lang w:val="en-GB"/>
                            </w:rPr>
                            <w:t>Building Resilience and Adaptation to Climate Extremes and Disasters (BRACED)</w:t>
                          </w:r>
                        </w:p>
                        <w:p w14:paraId="44C8909A" w14:textId="6D5E6DC4" w:rsidR="00FA04A9" w:rsidRPr="0018632A" w:rsidRDefault="00FA04A9" w:rsidP="00651513">
                          <w:pPr>
                            <w:rPr>
                              <w:rFonts w:ascii="Arial Narrow" w:hAnsi="Arial Narrow"/>
                              <w:b/>
                              <w:sz w:val="40"/>
                              <w:szCs w:val="40"/>
                            </w:rPr>
                          </w:pPr>
                          <w:r>
                            <w:rPr>
                              <w:rFonts w:ascii="Arial Narrow" w:hAnsi="Arial Narrow"/>
                              <w:sz w:val="40"/>
                              <w:szCs w:val="40"/>
                            </w:rPr>
                            <w:t>INITIATIVE PROSPECTIVE AGRICOLE ET RURALE (IPAR)</w:t>
                          </w:r>
                        </w:p>
                      </w:txbxContent>
                    </v:textbox>
                  </v:shape>
                  <v:shape id="Casella di testo 2" o:spid="_x0000_s1037" type="#_x0000_t202" style="position:absolute;left:35216;top:148226;width:16105;height:5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" filled="f" stroked="f">
                    <v:textbox style="mso-fit-shape-to-text:t">
                      <w:txbxContent>
                        <w:p w14:paraId="52797F4F" w14:textId="6DE3386C" w:rsidR="00FA04A9" w:rsidRPr="001A0B97" w:rsidRDefault="00FA04A9" w:rsidP="00651513">
                          <w:pPr>
                            <w:rPr>
                              <w:rFonts w:ascii="Arial Narrow" w:hAnsi="Arial Narrow"/>
                              <w:b/>
                              <w:color w:val="1C7B7A"/>
                              <w:sz w:val="40"/>
                              <w:szCs w:val="40"/>
                              <w:lang w:val="it-IT"/>
                            </w:rPr>
                          </w:pPr>
                          <w:r>
                            <w:rPr>
                              <w:rFonts w:ascii="Arial Narrow" w:hAnsi="Arial Narrow"/>
                              <w:b/>
                              <w:color w:val="1C7B7A"/>
                              <w:sz w:val="48"/>
                              <w:szCs w:val="48"/>
                              <w:lang w:val="it-IT"/>
                            </w:rPr>
                            <w:t>Août</w:t>
                          </w:r>
                          <w:r w:rsidRPr="001A0B97">
                            <w:rPr>
                              <w:rFonts w:ascii="Arial Narrow" w:hAnsi="Arial Narrow"/>
                              <w:b/>
                              <w:color w:val="1C7B7A"/>
                              <w:sz w:val="48"/>
                              <w:szCs w:val="48"/>
                              <w:lang w:val="it-IT"/>
                            </w:rPr>
                            <w:t xml:space="preserve"> 2019</w:t>
                          </w:r>
                        </w:p>
                      </w:txbxContent>
                    </v:textbox>
                  </v:shape>
                </v:group>
                <v:shape id="Casella di testo 2" o:spid="_x0000_s1038" type="#_x0000_t202" style="position:absolute;left:79631;top:137161;width:29629;height:28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" filled="f" stroked="f">
                  <v:shadow on="t" type="perspective" color="black" opacity="26214f" offset="0,0" matrix="66847f,,,66847f"/>
                  <v:textbox>
                    <w:txbxContent>
                      <w:p w14:paraId="4F013CA7" w14:textId="119F9CAB" w:rsidR="00FA04A9" w:rsidRDefault="00FA04A9" w:rsidP="00651513">
                        <w:pPr>
                          <w:rPr>
                            <w:rFonts w:ascii="Bahnschrift SemiBold" w:hAnsi="Bahnschrift SemiBold"/>
                            <w:color w:val="404040" w:themeColor="text1" w:themeTint="BF"/>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CE61E4" w14:textId="77777777" w:rsidR="00FA04A9" w:rsidRPr="00F52870" w:rsidRDefault="00FA04A9" w:rsidP="00651513">
                        <w:pPr>
                          <w:rPr>
                            <w:rFonts w:ascii="Bahnschrift SemiBold" w:hAnsi="Bahnschrift SemiBold"/>
                            <w:color w:val="404040" w:themeColor="text1" w:themeTint="BF"/>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ahnschrift SemiBold" w:hAnsi="Bahnschrift SemiBold"/>
                            <w:noProof/>
                            <w:color w:val="404040" w:themeColor="text1" w:themeTint="BF"/>
                            <w:sz w:val="56"/>
                            <w:szCs w:val="56"/>
                            <w:lang w:eastAsia="fr-FR"/>
                          </w:rPr>
                          <w:drawing>
                            <wp:inline distT="0" distB="0" distL="0" distR="0" wp14:anchorId="35F01500" wp14:editId="56628062">
                              <wp:extent cx="1253490" cy="1154430"/>
                              <wp:effectExtent l="76200" t="76200" r="80010" b="83820"/>
                              <wp:docPr id="202" name="Immagin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BRACED_RoundelGreen.jpg"/>
                                      <pic:cNvPicPr/>
                                    </pic:nvPicPr>
                                    <pic:blipFill>
                                      <a:blip r:embed="rId10">
                                        <a:extLst>
                                          <a:ext uri="{28A0092B-C50C-407E-A947-70E740481C1C}">
                                            <a14:useLocalDpi xmlns:a14="http://schemas.microsoft.com/office/drawing/2010/main" val="0"/>
                                          </a:ext>
                                        </a:extLst>
                                      </a:blip>
                                      <a:stretch>
                                        <a:fillRect/>
                                      </a:stretch>
                                    </pic:blipFill>
                                    <pic:spPr>
                                      <a:xfrm>
                                        <a:off x="0" y="0"/>
                                        <a:ext cx="1253490" cy="1154430"/>
                                      </a:xfrm>
                                      <a:prstGeom prst="rect">
                                        <a:avLst/>
                                      </a:prstGeom>
                                      <a:ln>
                                        <a:noFill/>
                                      </a:ln>
                                      <a:effectLst>
                                        <a:outerShdw blurRad="63500" sx="102000" sy="102000" algn="ctr" rotWithShape="0">
                                          <a:prstClr val="black">
                                            <a:alpha val="40000"/>
                                          </a:prstClr>
                                        </a:outerShdw>
                                        <a:softEdge rad="12700"/>
                                      </a:effectLst>
                                    </pic:spPr>
                                  </pic:pic>
                                </a:graphicData>
                              </a:graphic>
                            </wp:inline>
                          </w:drawing>
                        </w:r>
                        <w:r>
                          <w:rPr>
                            <w:rFonts w:ascii="Bahnschrift SemiBold" w:hAnsi="Bahnschrift SemiBold"/>
                            <w:color w:val="404040" w:themeColor="text1" w:themeTint="BF"/>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Bahnschrift SemiBold" w:hAnsi="Bahnschrift SemiBold"/>
                            <w:noProof/>
                            <w:color w:val="404040" w:themeColor="text1" w:themeTint="BF"/>
                            <w:sz w:val="56"/>
                            <w:szCs w:val="56"/>
                            <w:lang w:eastAsia="fr-FR"/>
                          </w:rPr>
                          <w:drawing>
                            <wp:inline distT="0" distB="0" distL="0" distR="0" wp14:anchorId="1BE41236" wp14:editId="179B5698">
                              <wp:extent cx="1090930" cy="1154430"/>
                              <wp:effectExtent l="76200" t="76200" r="71120" b="83820"/>
                              <wp:docPr id="203" name="Im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UK AID - Standard - 4C.jpg"/>
                                      <pic:cNvPicPr/>
                                    </pic:nvPicPr>
                                    <pic:blipFill>
                                      <a:blip r:embed="rId11">
                                        <a:extLst>
                                          <a:ext uri="{28A0092B-C50C-407E-A947-70E740481C1C}">
                                            <a14:useLocalDpi xmlns:a14="http://schemas.microsoft.com/office/drawing/2010/main" val="0"/>
                                          </a:ext>
                                        </a:extLst>
                                      </a:blip>
                                      <a:stretch>
                                        <a:fillRect/>
                                      </a:stretch>
                                    </pic:blipFill>
                                    <pic:spPr>
                                      <a:xfrm>
                                        <a:off x="0" y="0"/>
                                        <a:ext cx="1090930" cy="1154430"/>
                                      </a:xfrm>
                                      <a:prstGeom prst="rect">
                                        <a:avLst/>
                                      </a:prstGeom>
                                      <a:noFill/>
                                      <a:ln>
                                        <a:noFill/>
                                      </a:ln>
                                      <a:effectLst>
                                        <a:outerShdw blurRad="63500" sx="102000" sy="102000" algn="ctr" rotWithShape="0">
                                          <a:prstClr val="black">
                                            <a:alpha val="40000"/>
                                          </a:prstClr>
                                        </a:outerShdw>
                                      </a:effectLst>
                                    </pic:spPr>
                                  </pic:pic>
                                </a:graphicData>
                              </a:graphic>
                            </wp:inline>
                          </w:drawing>
                        </w:r>
                      </w:p>
                    </w:txbxContent>
                  </v:textbox>
                </v:shape>
              </v:group>
            </w:pict>
          </mc:Fallback>
        </mc:AlternateContent>
      </w:r>
      <w:r>
        <w:rPr>
          <w:rFonts w:ascii="Cambria" w:hAnsi="Cambria"/>
          <w:noProof/>
          <w:color w:val="5B9BD5"/>
          <w:lang w:eastAsia="fr-FR"/>
        </w:rPr>
        <w:t xml:space="preserve"> </w:t>
      </w:r>
    </w:p>
    <w:p w14:paraId="3D55C8CE" w14:textId="70A33BBF" w:rsidR="00651513" w:rsidRDefault="00651513" w:rsidP="00651513">
      <w:pPr>
        <w:pStyle w:val="Sfondomedio1-Colore11"/>
        <w:tabs>
          <w:tab w:val="left" w:pos="1918"/>
          <w:tab w:val="left" w:pos="10348"/>
        </w:tabs>
        <w:spacing w:before="240" w:after="240" w:line="276" w:lineRule="auto"/>
      </w:pPr>
    </w:p>
    <w:p w14:paraId="1F055A88" w14:textId="510E07CF" w:rsidR="00651513" w:rsidRDefault="008B4BAA" w:rsidP="00651513">
      <w:pPr>
        <w:spacing w:after="0" w:line="240" w:lineRule="auto"/>
        <w:sectPr w:rsidR="00651513" w:rsidSect="00651513">
          <w:headerReference w:type="default" r:id="rId12"/>
          <w:footerReference w:type="even" r:id="rId13"/>
          <w:headerReference w:type="first" r:id="rId14"/>
          <w:footerReference w:type="first" r:id="rId15"/>
          <w:pgSz w:w="11906" w:h="16838"/>
          <w:pgMar w:top="1417" w:right="1417" w:bottom="1417" w:left="1417" w:header="708" w:footer="708" w:gutter="0"/>
          <w:pgNumType w:start="1"/>
          <w:cols w:space="708"/>
          <w:titlePg/>
          <w:docGrid w:linePitch="360"/>
        </w:sectPr>
      </w:pPr>
      <w:r w:rsidRPr="008B4BAA">
        <w:rPr>
          <w:b/>
          <w:noProof/>
          <w:sz w:val="32"/>
          <w:szCs w:val="32"/>
          <w:lang w:eastAsia="fr-FR"/>
        </w:rPr>
        <mc:AlternateContent>
          <mc:Choice Requires="wps">
            <w:drawing>
              <wp:anchor distT="45720" distB="45720" distL="114300" distR="114300" simplePos="0" relativeHeight="251661312" behindDoc="0" locked="0" layoutInCell="1" allowOverlap="1" wp14:anchorId="5F92C7B5" wp14:editId="02611F1F">
                <wp:simplePos x="0" y="0"/>
                <wp:positionH relativeFrom="column">
                  <wp:posOffset>-779145</wp:posOffset>
                </wp:positionH>
                <wp:positionV relativeFrom="paragraph">
                  <wp:posOffset>6199505</wp:posOffset>
                </wp:positionV>
                <wp:extent cx="2360930" cy="666750"/>
                <wp:effectExtent l="0" t="0" r="19685" b="19050"/>
                <wp:wrapSquare wrapText="bothSides"/>
                <wp:docPr id="5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66750"/>
                        </a:xfrm>
                        <a:prstGeom prst="rect">
                          <a:avLst/>
                        </a:prstGeom>
                        <a:solidFill>
                          <a:srgbClr val="FFFFFF"/>
                        </a:solidFill>
                        <a:ln w="9525">
                          <a:solidFill>
                            <a:srgbClr val="000000"/>
                          </a:solidFill>
                          <a:miter lim="800000"/>
                          <a:headEnd/>
                          <a:tailEnd/>
                        </a:ln>
                      </wps:spPr>
                      <wps:txbx>
                        <w:txbxContent>
                          <w:p w14:paraId="511CAE26" w14:textId="4757B309" w:rsidR="008B4BAA" w:rsidRPr="008B4BAA" w:rsidRDefault="008B4BAA" w:rsidP="008B4BAA">
                            <w:pPr>
                              <w:rPr>
                                <w:b/>
                              </w:rPr>
                            </w:pPr>
                            <w:r w:rsidRPr="008B4BAA">
                              <w:rPr>
                                <w:b/>
                                <w:u w:val="single"/>
                              </w:rPr>
                              <w:t>Préparé par</w:t>
                            </w:r>
                            <w:r w:rsidRPr="008B4BAA">
                              <w:rPr>
                                <w:b/>
                              </w:rPr>
                              <w:t> : Mame Mor A</w:t>
                            </w:r>
                            <w:r>
                              <w:rPr>
                                <w:b/>
                              </w:rPr>
                              <w:t xml:space="preserve"> </w:t>
                            </w:r>
                            <w:r w:rsidRPr="008B4BAA">
                              <w:rPr>
                                <w:b/>
                              </w:rPr>
                              <w:t>SYLL, Cheikh F</w:t>
                            </w:r>
                            <w:r>
                              <w:rPr>
                                <w:b/>
                              </w:rPr>
                              <w:t>AYE</w:t>
                            </w:r>
                            <w:r w:rsidRPr="008B4BAA">
                              <w:rPr>
                                <w:b/>
                              </w:rPr>
                              <w:t>, Ousmane P</w:t>
                            </w:r>
                            <w:r>
                              <w:rPr>
                                <w:b/>
                              </w:rPr>
                              <w:t>OUYE</w:t>
                            </w:r>
                            <w:r w:rsidRPr="008B4BAA">
                              <w:rPr>
                                <w:b/>
                              </w:rPr>
                              <w:t xml:space="preserve"> et Mouhamadou F</w:t>
                            </w:r>
                            <w:r>
                              <w:rPr>
                                <w:b/>
                              </w:rPr>
                              <w:t>ADIGA</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F92C7B5" id="Zone de texte 2" o:spid="_x0000_s1039" type="#_x0000_t202" style="position:absolute;margin-left:-61.35pt;margin-top:488.15pt;width:185.9pt;height:52.5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">
                <v:textbox>
                  <w:txbxContent>
                    <w:p w14:paraId="511CAE26" w14:textId="4757B309" w:rsidR="008B4BAA" w:rsidRPr="008B4BAA" w:rsidRDefault="008B4BAA" w:rsidP="008B4BAA">
                      <w:pPr>
                        <w:rPr>
                          <w:b/>
                        </w:rPr>
                      </w:pPr>
                      <w:r w:rsidRPr="008B4BAA">
                        <w:rPr>
                          <w:b/>
                          <w:u w:val="single"/>
                        </w:rPr>
                        <w:t>Préparé par</w:t>
                      </w:r>
                      <w:r w:rsidRPr="008B4BAA">
                        <w:rPr>
                          <w:b/>
                        </w:rPr>
                        <w:t> : Mame Mor A</w:t>
                      </w:r>
                      <w:r>
                        <w:rPr>
                          <w:b/>
                        </w:rPr>
                        <w:t xml:space="preserve"> </w:t>
                      </w:r>
                      <w:r w:rsidRPr="008B4BAA">
                        <w:rPr>
                          <w:b/>
                        </w:rPr>
                        <w:t>SYLL, Cheikh F</w:t>
                      </w:r>
                      <w:r>
                        <w:rPr>
                          <w:b/>
                        </w:rPr>
                        <w:t>AYE</w:t>
                      </w:r>
                      <w:r w:rsidRPr="008B4BAA">
                        <w:rPr>
                          <w:b/>
                        </w:rPr>
                        <w:t>, Ousmane P</w:t>
                      </w:r>
                      <w:r>
                        <w:rPr>
                          <w:b/>
                        </w:rPr>
                        <w:t>OUYE</w:t>
                      </w:r>
                      <w:r w:rsidRPr="008B4BAA">
                        <w:rPr>
                          <w:b/>
                        </w:rPr>
                        <w:t xml:space="preserve"> et Mouhamadou F</w:t>
                      </w:r>
                      <w:r>
                        <w:rPr>
                          <w:b/>
                        </w:rPr>
                        <w:t>ADIGA</w:t>
                      </w:r>
                    </w:p>
                  </w:txbxContent>
                </v:textbox>
                <w10:wrap type="square"/>
              </v:shape>
            </w:pict>
          </mc:Fallback>
        </mc:AlternateContent>
      </w:r>
      <w:r w:rsidR="00651513">
        <w:br w:type="page"/>
      </w:r>
    </w:p>
    <w:p w14:paraId="2B6EE920" w14:textId="3F926580" w:rsidR="00651513" w:rsidRDefault="00651513" w:rsidP="00651513">
      <w:pPr>
        <w:spacing w:after="0" w:line="240" w:lineRule="auto"/>
        <w:rPr>
          <w:rFonts w:eastAsia="Times New Roman"/>
          <w:lang w:val="en-US"/>
        </w:rPr>
      </w:pPr>
    </w:p>
    <w:p w14:paraId="58F0C02A" w14:textId="57688823" w:rsidR="009513AC" w:rsidRDefault="009513AC" w:rsidP="00E14F80">
      <w:pPr>
        <w:pStyle w:val="Titre1"/>
      </w:pPr>
      <w:bookmarkStart w:id="0" w:name="_Toc17840304"/>
      <w:r>
        <w:t>R</w:t>
      </w:r>
      <w:r w:rsidR="00E14F80">
        <w:t>ésumé</w:t>
      </w:r>
      <w:bookmarkEnd w:id="0"/>
    </w:p>
    <w:p w14:paraId="3DB526BA" w14:textId="30B8E36D" w:rsidR="009513AC" w:rsidRDefault="009513AC" w:rsidP="009513AC">
      <w:pPr>
        <w:jc w:val="both"/>
        <w:sectPr w:rsidR="009513AC" w:rsidSect="00E4348F">
          <w:headerReference w:type="first" r:id="rId16"/>
          <w:pgSz w:w="11906" w:h="16838"/>
          <w:pgMar w:top="1417" w:right="1417" w:bottom="1417" w:left="1417" w:header="708" w:footer="708" w:gutter="0"/>
          <w:cols w:space="708"/>
          <w:titlePg/>
          <w:docGrid w:linePitch="360"/>
        </w:sectPr>
      </w:pPr>
      <w:r w:rsidRPr="009513AC">
        <w:t xml:space="preserve">La présente étude entre dans le cadre du dialogue politique autour de la question de l’assurance indicielle bétail pour l’élevage pastoral et agro-pastoral au Sénégal. Son objectif était de fournir une appréciation représentative de la perception des éleveurs sur l’assurance en général et une potentielle assurance indicielle bétail en particulier. Pour se faire, différentes offres d’assurance potentiellement </w:t>
      </w:r>
      <w:r w:rsidR="00615044">
        <w:t>possibles o</w:t>
      </w:r>
      <w:r w:rsidRPr="009513AC">
        <w:t>nt été proposé</w:t>
      </w:r>
      <w:r w:rsidR="00615044">
        <w:t>e</w:t>
      </w:r>
      <w:r w:rsidRPr="009513AC">
        <w:t xml:space="preserve">s aux éleveurs pour leur permettre de se prononcer sur les montants qu’ils sont prêts à y investir. La méthode d’évaluation contingente fut utilisée à cet effet. Les résultats ont montré que le risque de déficit pluviométrique (retard des pluies et pluies insuffisantes en général) est le principal risque </w:t>
      </w:r>
      <w:r w:rsidR="005C061E">
        <w:t>auquel</w:t>
      </w:r>
      <w:r w:rsidRPr="009513AC">
        <w:t xml:space="preserve"> les él</w:t>
      </w:r>
      <w:r w:rsidR="000237C7">
        <w:t>eveurs estiment être confrontés. C’est par ailleurs le risque au</w:t>
      </w:r>
      <w:r w:rsidRPr="009513AC">
        <w:t>q</w:t>
      </w:r>
      <w:r w:rsidR="000237C7">
        <w:t>uel</w:t>
      </w:r>
      <w:r w:rsidRPr="009513AC">
        <w:t xml:space="preserve"> ils souhaiteraient avoir une assurance de type indicielle. Sachant ce type de risque est assuré par la CNAAS dans le cadre de l’assurance indicielle récolte auprès des agriculteurs et que depuis près de sept ans des indices sont conçus dans le cadre du développement de ces types de produits, cela donne une opportunité intéressante pour l’élevage pastoral. En effet, tous les acquis capitalisés dans le cadre du développement des produits d’assurance indicielle récolte pourraient aussi être mobilisés pour développer un produit d’assurance indicielle bétail en faisa</w:t>
      </w:r>
      <w:r w:rsidR="00A1393E">
        <w:t>nt des économies d’échelles. En plus</w:t>
      </w:r>
      <w:r w:rsidRPr="009513AC">
        <w:t>, dans notre étude, nous avons utilisé comme exemple de produit d’a</w:t>
      </w:r>
      <w:r w:rsidR="00A1393E">
        <w:t>ssurance indicielle lors des explications fournies aux éleveurs</w:t>
      </w:r>
      <w:r w:rsidRPr="009513AC">
        <w:t>, un produit dont l’indice est lié au niveau de développement du tapis herbacé et qui rembourserait en cas de déficit pluviométrique sans se baser sur la vérification des dégâts auprès des troupeaux</w:t>
      </w:r>
      <w:r w:rsidR="00A1393E">
        <w:t xml:space="preserve"> mais sur la pluviométrie</w:t>
      </w:r>
      <w:r w:rsidRPr="009513AC">
        <w:t xml:space="preserve">. La plupart des éleveurs ont préféré une telle assurance indicielle à une assurance classique qui nécessiterait une vérification par tête de bétail. Enfin, concernant le vol du bétail, même s’il est sorti comme un risque important et souvent en deuxième position après le risque de déficit pluviométrique, pour l’instant il ne fait pas encore consensus entre la CNAAS et les éleveurs pour ce qui est de la possibilité de le prendre en charge par un produit d’assurance spécifique. Même s’il est nécessaire de les compléter avec d’autres études qualitatives, nos résultats confortent dans leur position les acteurs qui pensent que l’assurance indicielle bétail est envisageable et pertinentes pour l’élevage pastoral et agro-pastoral. Toutefois, des défis restent encore à relever et des réponses sont encore nécessaires sur des questions majeures. Parmi ces challenges, la question du design des indices de sorte à bien embrasser la mobilité du bétail dans les produits qui seront proposés demeure la plus importante. </w:t>
      </w:r>
    </w:p>
    <w:p w14:paraId="58F242AC" w14:textId="420B11C2" w:rsidR="00651513" w:rsidRDefault="002D5FC1" w:rsidP="00651513">
      <w:pPr>
        <w:pStyle w:val="Titre1"/>
      </w:pPr>
      <w:bookmarkStart w:id="1" w:name="_Toc17840305"/>
      <w:r>
        <w:lastRenderedPageBreak/>
        <w:t>Principaux résultats</w:t>
      </w:r>
      <w:bookmarkEnd w:id="1"/>
    </w:p>
    <w:p w14:paraId="2DEDEF7B" w14:textId="77777777" w:rsidR="00C0776E" w:rsidRPr="0042519D" w:rsidRDefault="00C0776E" w:rsidP="00C0776E">
      <w:pPr>
        <w:jc w:val="both"/>
        <w:rPr>
          <w:sz w:val="20"/>
          <w:szCs w:val="20"/>
        </w:rPr>
      </w:pPr>
      <w:r w:rsidRPr="0042519D">
        <w:rPr>
          <w:b/>
          <w:sz w:val="20"/>
          <w:szCs w:val="20"/>
        </w:rPr>
        <w:t>Chocs subis</w:t>
      </w:r>
      <w:r w:rsidRPr="0042519D">
        <w:rPr>
          <w:sz w:val="20"/>
          <w:szCs w:val="20"/>
        </w:rPr>
        <w:t> : Environ 53,6% des ménages enquêtés considèrent l’insuffisance des pluies comme un choc qu’ils ont subi les 12 derniers mois. Il s’en suit les maladies du bétail qui constituent le deuxième choc le plus déclaré, suivi des pauses pluviométriques et ensuite du vol du bétail en quatrième position.</w:t>
      </w:r>
    </w:p>
    <w:p w14:paraId="1C090472" w14:textId="77777777" w:rsidR="00C0776E" w:rsidRPr="0042519D" w:rsidRDefault="00C0776E" w:rsidP="00C0776E">
      <w:pPr>
        <w:jc w:val="both"/>
        <w:rPr>
          <w:sz w:val="20"/>
          <w:szCs w:val="20"/>
        </w:rPr>
      </w:pPr>
      <w:r w:rsidRPr="0042519D">
        <w:rPr>
          <w:b/>
          <w:sz w:val="20"/>
          <w:szCs w:val="20"/>
        </w:rPr>
        <w:t>Stratégies d’adaptation</w:t>
      </w:r>
      <w:r w:rsidRPr="0042519D">
        <w:rPr>
          <w:sz w:val="20"/>
          <w:szCs w:val="20"/>
        </w:rPr>
        <w:t xml:space="preserve"> : Le lissage de la consommation (vendre des actifs pour garder un niveau moyen de la consommation), est la </w:t>
      </w:r>
      <w:r>
        <w:rPr>
          <w:sz w:val="20"/>
          <w:szCs w:val="20"/>
        </w:rPr>
        <w:t>stratégie</w:t>
      </w:r>
      <w:r w:rsidRPr="0042519D">
        <w:rPr>
          <w:sz w:val="20"/>
          <w:szCs w:val="20"/>
        </w:rPr>
        <w:t xml:space="preserve"> qui prévaut le plus car 50% des mé</w:t>
      </w:r>
      <w:r>
        <w:rPr>
          <w:sz w:val="20"/>
          <w:szCs w:val="20"/>
        </w:rPr>
        <w:t>nages enquêtés ont déclaré</w:t>
      </w:r>
      <w:r w:rsidRPr="0042519D">
        <w:rPr>
          <w:sz w:val="20"/>
          <w:szCs w:val="20"/>
        </w:rPr>
        <w:t xml:space="preserve"> que durant les 12 derniers mois, ils ont vend</w:t>
      </w:r>
      <w:r>
        <w:rPr>
          <w:sz w:val="20"/>
          <w:szCs w:val="20"/>
        </w:rPr>
        <w:t>u plus de bétail que d’habitude</w:t>
      </w:r>
      <w:r w:rsidRPr="0042519D">
        <w:rPr>
          <w:sz w:val="20"/>
          <w:szCs w:val="20"/>
        </w:rPr>
        <w:t xml:space="preserve"> pour faire face à des chocs. On note également que près de 60% n’ont qu’une seule stratégie pour faire face aux chocs et 85% n’ont que deux stratégies : principalement, lisser les actifs ou s’endetter.</w:t>
      </w:r>
    </w:p>
    <w:p w14:paraId="20FC5D30" w14:textId="5F98FA06" w:rsidR="00C0776E" w:rsidRPr="0042519D" w:rsidRDefault="00C0776E" w:rsidP="00C0776E">
      <w:pPr>
        <w:jc w:val="both"/>
        <w:rPr>
          <w:sz w:val="20"/>
          <w:szCs w:val="20"/>
        </w:rPr>
      </w:pPr>
      <w:r w:rsidRPr="0042519D">
        <w:rPr>
          <w:b/>
          <w:sz w:val="20"/>
          <w:szCs w:val="20"/>
        </w:rPr>
        <w:t>Risque à assurer :</w:t>
      </w:r>
      <w:r w:rsidRPr="0042519D">
        <w:rPr>
          <w:sz w:val="20"/>
          <w:szCs w:val="20"/>
        </w:rPr>
        <w:t xml:space="preserve"> Le déficit pluviométrique reste dans tous les cas de figure le premier risque auquel les éleveurs veulent s’assurer en général. Le vol du bétail vient en deuxième position suivi des maladies du bétail.</w:t>
      </w:r>
      <w:r w:rsidR="00362F27">
        <w:rPr>
          <w:sz w:val="20"/>
          <w:szCs w:val="20"/>
        </w:rPr>
        <w:t xml:space="preserve"> Les consentements à payer confirment ce résultat car ce sont pour le retard des pluies et pour les pluies insuffisantes qu’il y a le plus </w:t>
      </w:r>
      <w:r w:rsidR="005E0505">
        <w:rPr>
          <w:sz w:val="20"/>
          <w:szCs w:val="20"/>
        </w:rPr>
        <w:t xml:space="preserve">de </w:t>
      </w:r>
      <w:r w:rsidR="00362F27">
        <w:rPr>
          <w:sz w:val="20"/>
          <w:szCs w:val="20"/>
        </w:rPr>
        <w:t>déclarations de consentement à p</w:t>
      </w:r>
      <w:r w:rsidR="005E0505">
        <w:rPr>
          <w:sz w:val="20"/>
          <w:szCs w:val="20"/>
        </w:rPr>
        <w:t>ayer et les montants déclarés les plus élevés, suivi du vol du bétail, ensuite les intempéries et enfin la mort naturelle du bétail.</w:t>
      </w:r>
    </w:p>
    <w:p w14:paraId="0C8FB0C4" w14:textId="02E18DDA" w:rsidR="00C0776E" w:rsidRPr="0042519D" w:rsidRDefault="00C0776E" w:rsidP="00C0776E">
      <w:pPr>
        <w:jc w:val="both"/>
        <w:rPr>
          <w:sz w:val="20"/>
          <w:szCs w:val="20"/>
        </w:rPr>
      </w:pPr>
      <w:r w:rsidRPr="0042519D">
        <w:rPr>
          <w:b/>
          <w:sz w:val="20"/>
          <w:szCs w:val="20"/>
        </w:rPr>
        <w:t>Connaissance de l’assurance</w:t>
      </w:r>
      <w:r w:rsidRPr="0042519D">
        <w:rPr>
          <w:sz w:val="20"/>
          <w:szCs w:val="20"/>
        </w:rPr>
        <w:t xml:space="preserve"> : les éleveurs ne connaissent principalement que l’assurance automobile (87% des éleveurs) et ceux qui ont entendu </w:t>
      </w:r>
      <w:r w:rsidR="00B21741" w:rsidRPr="0042519D">
        <w:rPr>
          <w:sz w:val="20"/>
          <w:szCs w:val="20"/>
        </w:rPr>
        <w:t>parler</w:t>
      </w:r>
      <w:r w:rsidRPr="0042519D">
        <w:rPr>
          <w:sz w:val="20"/>
          <w:szCs w:val="20"/>
        </w:rPr>
        <w:t xml:space="preserve"> de l’assurance bétail classique (36%) n’y ont jamais souscrit presque car seul 1% ont déclaré l’avoir au moins acheté une fois. </w:t>
      </w:r>
    </w:p>
    <w:p w14:paraId="7F7CF6C3" w14:textId="1918AEE7" w:rsidR="00C0776E" w:rsidRPr="0042519D" w:rsidRDefault="00C0776E" w:rsidP="00C0776E">
      <w:pPr>
        <w:jc w:val="both"/>
        <w:rPr>
          <w:sz w:val="20"/>
          <w:szCs w:val="20"/>
        </w:rPr>
      </w:pPr>
      <w:r w:rsidRPr="0042519D">
        <w:rPr>
          <w:b/>
          <w:sz w:val="20"/>
          <w:szCs w:val="20"/>
        </w:rPr>
        <w:t>Appréciation de l’assurance</w:t>
      </w:r>
      <w:r w:rsidRPr="0042519D">
        <w:rPr>
          <w:sz w:val="20"/>
          <w:szCs w:val="20"/>
        </w:rPr>
        <w:t xml:space="preserve"> : sur son principe de fonctionnement, 80% des éleveurs trouvent que l’assurance est une bonne chose. Toutefois, environ 17% des éleveurs ont déclaré avoir beaucoup de confiance aux systèmes des </w:t>
      </w:r>
      <w:r w:rsidR="00B21741" w:rsidRPr="0042519D">
        <w:rPr>
          <w:sz w:val="20"/>
          <w:szCs w:val="20"/>
        </w:rPr>
        <w:t>assurances</w:t>
      </w:r>
      <w:r w:rsidRPr="0042519D">
        <w:rPr>
          <w:sz w:val="20"/>
          <w:szCs w:val="20"/>
        </w:rPr>
        <w:t>, 39% environ ont assez de confiance, 22% ont peu de confiance et 20% ne souhaite pas se prononcer. Ce qui témoigne d’une certaine prudence.</w:t>
      </w:r>
    </w:p>
    <w:p w14:paraId="78139371" w14:textId="77777777" w:rsidR="00C0776E" w:rsidRPr="0042519D" w:rsidRDefault="00C0776E" w:rsidP="00C0776E">
      <w:pPr>
        <w:jc w:val="both"/>
        <w:rPr>
          <w:sz w:val="20"/>
          <w:szCs w:val="20"/>
        </w:rPr>
      </w:pPr>
      <w:r w:rsidRPr="0042519D">
        <w:rPr>
          <w:b/>
          <w:sz w:val="20"/>
          <w:szCs w:val="20"/>
        </w:rPr>
        <w:t xml:space="preserve">Préférence entre l’assurance indicielle </w:t>
      </w:r>
      <w:r>
        <w:rPr>
          <w:b/>
          <w:sz w:val="20"/>
          <w:szCs w:val="20"/>
        </w:rPr>
        <w:t xml:space="preserve">bétail </w:t>
      </w:r>
      <w:r w:rsidRPr="0042519D">
        <w:rPr>
          <w:b/>
          <w:sz w:val="20"/>
          <w:szCs w:val="20"/>
        </w:rPr>
        <w:t>et l’assurance classique</w:t>
      </w:r>
      <w:r>
        <w:rPr>
          <w:b/>
          <w:sz w:val="20"/>
          <w:szCs w:val="20"/>
        </w:rPr>
        <w:t xml:space="preserve"> bétail</w:t>
      </w:r>
      <w:r w:rsidRPr="0042519D">
        <w:rPr>
          <w:sz w:val="20"/>
          <w:szCs w:val="20"/>
        </w:rPr>
        <w:t> : Les éleveurs ont une fore préférence pour l’assurance indicielle comparée à l’assurance classique. Environ 70% au moins de l’ensemble des participants à l’enquête préfèrent l’assurance indicielle et ce résultat est valable pour tous les départements considérés.</w:t>
      </w:r>
    </w:p>
    <w:p w14:paraId="30F398AD" w14:textId="3E05C116" w:rsidR="00362F27" w:rsidRPr="00362F27" w:rsidRDefault="00C0776E" w:rsidP="00362F27">
      <w:pPr>
        <w:jc w:val="both"/>
        <w:rPr>
          <w:sz w:val="20"/>
          <w:szCs w:val="20"/>
        </w:rPr>
      </w:pPr>
      <w:r w:rsidRPr="0042519D">
        <w:rPr>
          <w:b/>
          <w:sz w:val="20"/>
          <w:szCs w:val="20"/>
        </w:rPr>
        <w:t>Consentement à payer</w:t>
      </w:r>
      <w:r w:rsidRPr="0042519D">
        <w:rPr>
          <w:sz w:val="20"/>
          <w:szCs w:val="20"/>
        </w:rPr>
        <w:t xml:space="preserve"> : </w:t>
      </w:r>
      <w:r w:rsidR="00362F27" w:rsidRPr="00362F27">
        <w:rPr>
          <w:sz w:val="20"/>
          <w:szCs w:val="20"/>
        </w:rPr>
        <w:t>Le tableau suivant résume les montants des consentements à payer les pus déclarés selon que l’on passe d’un type de bétail à un autre et d’un mode de couverture à un autre</w:t>
      </w:r>
      <w:r w:rsidR="00362F27">
        <w:rPr>
          <w:sz w:val="20"/>
          <w:szCs w:val="20"/>
        </w:rPr>
        <w:t xml:space="preserve">. </w:t>
      </w:r>
    </w:p>
    <w:tbl>
      <w:tblPr>
        <w:tblStyle w:val="Grilledutableau"/>
        <w:tblW w:w="5000" w:type="pct"/>
        <w:tblLook w:val="04A0" w:firstRow="1" w:lastRow="0" w:firstColumn="1" w:lastColumn="0" w:noHBand="0" w:noVBand="1"/>
      </w:tblPr>
      <w:tblGrid>
        <w:gridCol w:w="3969"/>
        <w:gridCol w:w="1699"/>
        <w:gridCol w:w="1703"/>
        <w:gridCol w:w="1696"/>
      </w:tblGrid>
      <w:tr w:rsidR="00362F27" w:rsidRPr="00362F27" w14:paraId="41B20F74" w14:textId="77777777" w:rsidTr="00AB2E76">
        <w:tc>
          <w:tcPr>
            <w:tcW w:w="2189" w:type="pct"/>
            <w:tcBorders>
              <w:top w:val="nil"/>
              <w:left w:val="nil"/>
            </w:tcBorders>
          </w:tcPr>
          <w:p w14:paraId="3688B6A0" w14:textId="77777777" w:rsidR="00362F27" w:rsidRPr="00362F27" w:rsidRDefault="00362F27" w:rsidP="00362F27">
            <w:pPr>
              <w:spacing w:after="160" w:line="259" w:lineRule="auto"/>
              <w:jc w:val="both"/>
              <w:rPr>
                <w:sz w:val="20"/>
                <w:szCs w:val="20"/>
              </w:rPr>
            </w:pPr>
          </w:p>
        </w:tc>
        <w:tc>
          <w:tcPr>
            <w:tcW w:w="937" w:type="pct"/>
          </w:tcPr>
          <w:p w14:paraId="35D2DB09" w14:textId="77777777" w:rsidR="00362F27" w:rsidRPr="00362F27" w:rsidRDefault="00362F27" w:rsidP="00362F27">
            <w:pPr>
              <w:spacing w:after="160" w:line="259" w:lineRule="auto"/>
              <w:jc w:val="both"/>
              <w:rPr>
                <w:sz w:val="20"/>
                <w:szCs w:val="20"/>
              </w:rPr>
            </w:pPr>
            <w:r w:rsidRPr="00362F27">
              <w:rPr>
                <w:sz w:val="20"/>
                <w:szCs w:val="20"/>
              </w:rPr>
              <w:t>Bovins</w:t>
            </w:r>
          </w:p>
        </w:tc>
        <w:tc>
          <w:tcPr>
            <w:tcW w:w="939" w:type="pct"/>
          </w:tcPr>
          <w:p w14:paraId="7529C9F9" w14:textId="77777777" w:rsidR="00362F27" w:rsidRPr="00362F27" w:rsidRDefault="00362F27" w:rsidP="00362F27">
            <w:pPr>
              <w:spacing w:after="160" w:line="259" w:lineRule="auto"/>
              <w:jc w:val="both"/>
              <w:rPr>
                <w:sz w:val="20"/>
                <w:szCs w:val="20"/>
              </w:rPr>
            </w:pPr>
            <w:r w:rsidRPr="00362F27">
              <w:rPr>
                <w:sz w:val="20"/>
                <w:szCs w:val="20"/>
              </w:rPr>
              <w:t>Ovins</w:t>
            </w:r>
          </w:p>
        </w:tc>
        <w:tc>
          <w:tcPr>
            <w:tcW w:w="935" w:type="pct"/>
          </w:tcPr>
          <w:p w14:paraId="5F365043" w14:textId="77777777" w:rsidR="00362F27" w:rsidRPr="00362F27" w:rsidRDefault="00362F27" w:rsidP="00362F27">
            <w:pPr>
              <w:spacing w:after="160" w:line="259" w:lineRule="auto"/>
              <w:jc w:val="both"/>
              <w:rPr>
                <w:sz w:val="20"/>
                <w:szCs w:val="20"/>
              </w:rPr>
            </w:pPr>
            <w:r w:rsidRPr="00362F27">
              <w:rPr>
                <w:sz w:val="20"/>
                <w:szCs w:val="20"/>
              </w:rPr>
              <w:t>Caprins</w:t>
            </w:r>
          </w:p>
        </w:tc>
      </w:tr>
      <w:tr w:rsidR="00362F27" w:rsidRPr="00362F27" w14:paraId="7517ED88" w14:textId="77777777" w:rsidTr="00AB2E76">
        <w:tc>
          <w:tcPr>
            <w:tcW w:w="2189" w:type="pct"/>
          </w:tcPr>
          <w:p w14:paraId="6707AB4E" w14:textId="77777777" w:rsidR="00362F27" w:rsidRPr="00362F27" w:rsidRDefault="00362F27" w:rsidP="00362F27">
            <w:pPr>
              <w:spacing w:after="160" w:line="259" w:lineRule="auto"/>
              <w:jc w:val="both"/>
              <w:rPr>
                <w:sz w:val="20"/>
                <w:szCs w:val="20"/>
              </w:rPr>
            </w:pPr>
            <w:r w:rsidRPr="00362F27">
              <w:rPr>
                <w:sz w:val="20"/>
                <w:szCs w:val="20"/>
              </w:rPr>
              <w:t>Chaque tête de bétail</w:t>
            </w:r>
          </w:p>
        </w:tc>
        <w:tc>
          <w:tcPr>
            <w:tcW w:w="937" w:type="pct"/>
          </w:tcPr>
          <w:p w14:paraId="2C43CB32" w14:textId="77777777" w:rsidR="00362F27" w:rsidRPr="00362F27" w:rsidRDefault="00362F27" w:rsidP="00362F27">
            <w:pPr>
              <w:spacing w:after="160" w:line="259" w:lineRule="auto"/>
              <w:jc w:val="center"/>
              <w:rPr>
                <w:sz w:val="20"/>
                <w:szCs w:val="20"/>
              </w:rPr>
            </w:pPr>
            <w:r w:rsidRPr="00362F27">
              <w:rPr>
                <w:sz w:val="20"/>
                <w:szCs w:val="20"/>
              </w:rPr>
              <w:t>500 - 3000</w:t>
            </w:r>
          </w:p>
        </w:tc>
        <w:tc>
          <w:tcPr>
            <w:tcW w:w="939" w:type="pct"/>
          </w:tcPr>
          <w:p w14:paraId="3FD6FA4E" w14:textId="77777777" w:rsidR="006D3660" w:rsidRPr="00362F27" w:rsidRDefault="00B06352" w:rsidP="0056146E">
            <w:pPr>
              <w:numPr>
                <w:ilvl w:val="0"/>
                <w:numId w:val="22"/>
              </w:numPr>
              <w:spacing w:after="160" w:line="259" w:lineRule="auto"/>
              <w:jc w:val="center"/>
              <w:rPr>
                <w:sz w:val="20"/>
                <w:szCs w:val="20"/>
              </w:rPr>
            </w:pPr>
            <w:r w:rsidRPr="00362F27">
              <w:rPr>
                <w:sz w:val="20"/>
                <w:szCs w:val="20"/>
              </w:rPr>
              <w:t>– 1000</w:t>
            </w:r>
          </w:p>
        </w:tc>
        <w:tc>
          <w:tcPr>
            <w:tcW w:w="935" w:type="pct"/>
          </w:tcPr>
          <w:p w14:paraId="354D6491" w14:textId="77777777" w:rsidR="006D3660" w:rsidRPr="00362F27" w:rsidRDefault="00362F27" w:rsidP="00362F27">
            <w:pPr>
              <w:spacing w:after="160" w:line="259" w:lineRule="auto"/>
              <w:jc w:val="center"/>
              <w:rPr>
                <w:sz w:val="20"/>
                <w:szCs w:val="20"/>
              </w:rPr>
            </w:pPr>
            <w:r w:rsidRPr="00362F27">
              <w:rPr>
                <w:sz w:val="20"/>
                <w:szCs w:val="20"/>
              </w:rPr>
              <w:t xml:space="preserve">0 </w:t>
            </w:r>
            <w:r w:rsidR="00B06352" w:rsidRPr="00362F27">
              <w:rPr>
                <w:sz w:val="20"/>
                <w:szCs w:val="20"/>
              </w:rPr>
              <w:t>– 500</w:t>
            </w:r>
          </w:p>
        </w:tc>
      </w:tr>
      <w:tr w:rsidR="00362F27" w:rsidRPr="00362F27" w14:paraId="5706FA37" w14:textId="77777777" w:rsidTr="00AB2E76">
        <w:tc>
          <w:tcPr>
            <w:tcW w:w="2189" w:type="pct"/>
          </w:tcPr>
          <w:p w14:paraId="320078F6" w14:textId="77777777" w:rsidR="00362F27" w:rsidRPr="00362F27" w:rsidRDefault="00362F27" w:rsidP="00362F27">
            <w:pPr>
              <w:spacing w:after="160" w:line="259" w:lineRule="auto"/>
              <w:jc w:val="both"/>
              <w:rPr>
                <w:sz w:val="20"/>
                <w:szCs w:val="20"/>
              </w:rPr>
            </w:pPr>
            <w:r w:rsidRPr="00362F27">
              <w:rPr>
                <w:sz w:val="20"/>
                <w:szCs w:val="20"/>
              </w:rPr>
              <w:t>Les 5 têtes les plus importantes</w:t>
            </w:r>
          </w:p>
        </w:tc>
        <w:tc>
          <w:tcPr>
            <w:tcW w:w="937" w:type="pct"/>
          </w:tcPr>
          <w:p w14:paraId="572D4743" w14:textId="77777777" w:rsidR="00362F27" w:rsidRPr="00362F27" w:rsidRDefault="00362F27" w:rsidP="00362F27">
            <w:pPr>
              <w:spacing w:after="160" w:line="259" w:lineRule="auto"/>
              <w:jc w:val="center"/>
              <w:rPr>
                <w:sz w:val="20"/>
                <w:szCs w:val="20"/>
              </w:rPr>
            </w:pPr>
            <w:r w:rsidRPr="00362F27">
              <w:rPr>
                <w:sz w:val="20"/>
                <w:szCs w:val="20"/>
              </w:rPr>
              <w:t>3000 – plus de 10 000</w:t>
            </w:r>
          </w:p>
        </w:tc>
        <w:tc>
          <w:tcPr>
            <w:tcW w:w="939" w:type="pct"/>
          </w:tcPr>
          <w:p w14:paraId="7F13C3A1" w14:textId="77777777" w:rsidR="00362F27" w:rsidRPr="00362F27" w:rsidRDefault="00362F27" w:rsidP="00362F27">
            <w:pPr>
              <w:spacing w:after="160" w:line="259" w:lineRule="auto"/>
              <w:jc w:val="center"/>
              <w:rPr>
                <w:sz w:val="20"/>
                <w:szCs w:val="20"/>
              </w:rPr>
            </w:pPr>
            <w:r w:rsidRPr="00362F27">
              <w:rPr>
                <w:sz w:val="20"/>
                <w:szCs w:val="20"/>
              </w:rPr>
              <w:t>500 – 5000</w:t>
            </w:r>
          </w:p>
        </w:tc>
        <w:tc>
          <w:tcPr>
            <w:tcW w:w="935" w:type="pct"/>
          </w:tcPr>
          <w:p w14:paraId="34450614" w14:textId="77777777" w:rsidR="00362F27" w:rsidRPr="00362F27" w:rsidRDefault="00362F27" w:rsidP="00362F27">
            <w:pPr>
              <w:spacing w:after="160" w:line="259" w:lineRule="auto"/>
              <w:jc w:val="center"/>
              <w:rPr>
                <w:sz w:val="20"/>
                <w:szCs w:val="20"/>
              </w:rPr>
            </w:pPr>
            <w:r w:rsidRPr="00362F27">
              <w:rPr>
                <w:sz w:val="20"/>
                <w:szCs w:val="20"/>
              </w:rPr>
              <w:t>500 – 5000</w:t>
            </w:r>
          </w:p>
        </w:tc>
      </w:tr>
      <w:tr w:rsidR="00362F27" w:rsidRPr="00362F27" w14:paraId="22BA692C" w14:textId="77777777" w:rsidTr="00AB2E76">
        <w:tc>
          <w:tcPr>
            <w:tcW w:w="2189" w:type="pct"/>
          </w:tcPr>
          <w:p w14:paraId="41B9FEBA" w14:textId="77777777" w:rsidR="00362F27" w:rsidRPr="00362F27" w:rsidRDefault="00362F27" w:rsidP="00362F27">
            <w:pPr>
              <w:spacing w:after="160" w:line="259" w:lineRule="auto"/>
              <w:jc w:val="both"/>
              <w:rPr>
                <w:sz w:val="20"/>
                <w:szCs w:val="20"/>
              </w:rPr>
            </w:pPr>
            <w:r w:rsidRPr="00362F27">
              <w:rPr>
                <w:sz w:val="20"/>
                <w:szCs w:val="20"/>
              </w:rPr>
              <w:t>Tout le troupeau</w:t>
            </w:r>
          </w:p>
        </w:tc>
        <w:tc>
          <w:tcPr>
            <w:tcW w:w="937" w:type="pct"/>
          </w:tcPr>
          <w:p w14:paraId="176DEAE2" w14:textId="77777777" w:rsidR="00362F27" w:rsidRPr="00362F27" w:rsidRDefault="00362F27" w:rsidP="00362F27">
            <w:pPr>
              <w:spacing w:after="160" w:line="259" w:lineRule="auto"/>
              <w:jc w:val="center"/>
              <w:rPr>
                <w:sz w:val="20"/>
                <w:szCs w:val="20"/>
              </w:rPr>
            </w:pPr>
            <w:r w:rsidRPr="00362F27">
              <w:rPr>
                <w:sz w:val="20"/>
                <w:szCs w:val="20"/>
              </w:rPr>
              <w:t>Plus de 10 000 FCFA</w:t>
            </w:r>
          </w:p>
        </w:tc>
        <w:tc>
          <w:tcPr>
            <w:tcW w:w="939" w:type="pct"/>
          </w:tcPr>
          <w:p w14:paraId="6ED89440" w14:textId="77777777" w:rsidR="00362F27" w:rsidRPr="00362F27" w:rsidRDefault="00362F27" w:rsidP="00362F27">
            <w:pPr>
              <w:spacing w:after="160" w:line="259" w:lineRule="auto"/>
              <w:jc w:val="center"/>
              <w:rPr>
                <w:sz w:val="20"/>
                <w:szCs w:val="20"/>
              </w:rPr>
            </w:pPr>
            <w:r w:rsidRPr="00362F27">
              <w:rPr>
                <w:sz w:val="20"/>
                <w:szCs w:val="20"/>
              </w:rPr>
              <w:t>10 000 – plus de 10 000</w:t>
            </w:r>
          </w:p>
        </w:tc>
        <w:tc>
          <w:tcPr>
            <w:tcW w:w="935" w:type="pct"/>
          </w:tcPr>
          <w:p w14:paraId="05BC4547" w14:textId="77777777" w:rsidR="00362F27" w:rsidRPr="00362F27" w:rsidRDefault="00362F27" w:rsidP="00362F27">
            <w:pPr>
              <w:spacing w:after="160" w:line="259" w:lineRule="auto"/>
              <w:jc w:val="center"/>
              <w:rPr>
                <w:sz w:val="20"/>
                <w:szCs w:val="20"/>
              </w:rPr>
            </w:pPr>
            <w:r w:rsidRPr="00362F27">
              <w:rPr>
                <w:sz w:val="20"/>
                <w:szCs w:val="20"/>
              </w:rPr>
              <w:t>3 000 – plus de 10 000</w:t>
            </w:r>
          </w:p>
        </w:tc>
      </w:tr>
      <w:tr w:rsidR="00362F27" w:rsidRPr="00362F27" w14:paraId="31324BD6" w14:textId="77777777" w:rsidTr="00AB2E76">
        <w:tc>
          <w:tcPr>
            <w:tcW w:w="2189" w:type="pct"/>
          </w:tcPr>
          <w:p w14:paraId="64616F2F" w14:textId="77777777" w:rsidR="00362F27" w:rsidRPr="00362F27" w:rsidRDefault="00362F27" w:rsidP="00362F27">
            <w:pPr>
              <w:spacing w:after="160" w:line="259" w:lineRule="auto"/>
              <w:jc w:val="both"/>
              <w:rPr>
                <w:sz w:val="20"/>
                <w:szCs w:val="20"/>
              </w:rPr>
            </w:pPr>
            <w:r w:rsidRPr="00362F27">
              <w:rPr>
                <w:sz w:val="20"/>
                <w:szCs w:val="20"/>
              </w:rPr>
              <w:t>Chaque valeur de 100 000 FCFA du troupeau</w:t>
            </w:r>
          </w:p>
        </w:tc>
        <w:tc>
          <w:tcPr>
            <w:tcW w:w="937" w:type="pct"/>
          </w:tcPr>
          <w:p w14:paraId="08F352BE" w14:textId="77777777" w:rsidR="00362F27" w:rsidRPr="00362F27" w:rsidRDefault="00362F27" w:rsidP="00362F27">
            <w:pPr>
              <w:spacing w:after="160" w:line="259" w:lineRule="auto"/>
              <w:jc w:val="center"/>
              <w:rPr>
                <w:sz w:val="20"/>
                <w:szCs w:val="20"/>
              </w:rPr>
            </w:pPr>
            <w:r w:rsidRPr="00362F27">
              <w:rPr>
                <w:sz w:val="20"/>
                <w:szCs w:val="20"/>
              </w:rPr>
              <w:t>3000 – 10 000</w:t>
            </w:r>
          </w:p>
        </w:tc>
        <w:tc>
          <w:tcPr>
            <w:tcW w:w="939" w:type="pct"/>
          </w:tcPr>
          <w:p w14:paraId="79B9EF61" w14:textId="77777777" w:rsidR="00362F27" w:rsidRPr="00362F27" w:rsidRDefault="00362F27" w:rsidP="00362F27">
            <w:pPr>
              <w:spacing w:after="160" w:line="259" w:lineRule="auto"/>
              <w:jc w:val="center"/>
              <w:rPr>
                <w:sz w:val="20"/>
                <w:szCs w:val="20"/>
              </w:rPr>
            </w:pPr>
            <w:r w:rsidRPr="00362F27">
              <w:rPr>
                <w:sz w:val="20"/>
                <w:szCs w:val="20"/>
              </w:rPr>
              <w:t>3000</w:t>
            </w:r>
          </w:p>
        </w:tc>
        <w:tc>
          <w:tcPr>
            <w:tcW w:w="935" w:type="pct"/>
          </w:tcPr>
          <w:p w14:paraId="6D214A75" w14:textId="77777777" w:rsidR="00362F27" w:rsidRPr="00362F27" w:rsidRDefault="00362F27" w:rsidP="00362F27">
            <w:pPr>
              <w:spacing w:after="160" w:line="259" w:lineRule="auto"/>
              <w:jc w:val="center"/>
              <w:rPr>
                <w:sz w:val="20"/>
                <w:szCs w:val="20"/>
              </w:rPr>
            </w:pPr>
            <w:r w:rsidRPr="00362F27">
              <w:rPr>
                <w:sz w:val="20"/>
                <w:szCs w:val="20"/>
              </w:rPr>
              <w:t>3000</w:t>
            </w:r>
          </w:p>
        </w:tc>
      </w:tr>
    </w:tbl>
    <w:p w14:paraId="5BED6AE7" w14:textId="28931B2A" w:rsidR="00362F27" w:rsidRPr="00362F27" w:rsidRDefault="00362F27" w:rsidP="00362F27">
      <w:pPr>
        <w:jc w:val="both"/>
        <w:rPr>
          <w:sz w:val="20"/>
          <w:szCs w:val="20"/>
        </w:rPr>
      </w:pPr>
      <w:r w:rsidRPr="00362F27">
        <w:rPr>
          <w:sz w:val="20"/>
          <w:szCs w:val="20"/>
        </w:rPr>
        <w:t>L’analyse du tableau révèle d’abord que comme on pouvait s’y attendre, les consentements à payer des éleveurs sont plus importants pour les bovins, suivi des ovins et des caprins. De même, il y a une certaine logique dans les déclarations lorsque les animaux sont pris par unité. En effet, les éleveurs semblent raisonner en termes d’Unité de Bétail Tropical (UBT) en déclarant leu</w:t>
      </w:r>
      <w:r>
        <w:rPr>
          <w:sz w:val="20"/>
          <w:szCs w:val="20"/>
        </w:rPr>
        <w:t>r consentement à payer car</w:t>
      </w:r>
      <w:r w:rsidRPr="00362F27">
        <w:rPr>
          <w:sz w:val="20"/>
          <w:szCs w:val="20"/>
        </w:rPr>
        <w:t xml:space="preserve"> les valeurs déclarées sont plus </w:t>
      </w:r>
      <w:r w:rsidR="005E0505" w:rsidRPr="00362F27">
        <w:rPr>
          <w:sz w:val="20"/>
          <w:szCs w:val="20"/>
        </w:rPr>
        <w:t>élevées</w:t>
      </w:r>
      <w:r w:rsidRPr="00362F27">
        <w:rPr>
          <w:sz w:val="20"/>
          <w:szCs w:val="20"/>
        </w:rPr>
        <w:t xml:space="preserve"> pour une unité de bovins que pour une unité d’ovins. Le même constat est aussi effectué entre les ovins et les caprins.</w:t>
      </w:r>
    </w:p>
    <w:p w14:paraId="10B4826F" w14:textId="0D718042" w:rsidR="00B21741" w:rsidRDefault="00B21741" w:rsidP="00C0776E">
      <w:pPr>
        <w:jc w:val="both"/>
        <w:rPr>
          <w:sz w:val="20"/>
          <w:szCs w:val="20"/>
        </w:rPr>
        <w:sectPr w:rsidR="00B21741" w:rsidSect="00E4348F">
          <w:pgSz w:w="11906" w:h="16838"/>
          <w:pgMar w:top="1417" w:right="1417" w:bottom="1417" w:left="1417" w:header="708" w:footer="708" w:gutter="0"/>
          <w:cols w:space="708"/>
          <w:titlePg/>
          <w:docGrid w:linePitch="360"/>
        </w:sectPr>
      </w:pPr>
    </w:p>
    <w:sdt>
      <w:sdtPr>
        <w:rPr>
          <w:rFonts w:asciiTheme="minorHAnsi" w:eastAsiaTheme="minorHAnsi" w:hAnsiTheme="minorHAnsi" w:cstheme="minorBidi"/>
          <w:color w:val="auto"/>
          <w:sz w:val="22"/>
          <w:szCs w:val="22"/>
          <w:lang w:eastAsia="en-US"/>
        </w:rPr>
        <w:id w:val="98145040"/>
        <w:docPartObj>
          <w:docPartGallery w:val="Table of Contents"/>
          <w:docPartUnique/>
        </w:docPartObj>
      </w:sdtPr>
      <w:sdtEndPr>
        <w:rPr>
          <w:b/>
          <w:bCs/>
        </w:rPr>
      </w:sdtEndPr>
      <w:sdtContent>
        <w:p w14:paraId="3C04E55E" w14:textId="5D90467A" w:rsidR="007C2F5D" w:rsidRDefault="007C2F5D">
          <w:pPr>
            <w:pStyle w:val="En-ttedetabledesmatires"/>
          </w:pPr>
          <w:r>
            <w:t>Table des matières</w:t>
          </w:r>
        </w:p>
        <w:p w14:paraId="3AA98B73" w14:textId="34268C5B" w:rsidR="00783210" w:rsidRDefault="007C2F5D">
          <w:pPr>
            <w:pStyle w:val="TM1"/>
            <w:tabs>
              <w:tab w:val="right" w:leader="dot" w:pos="9062"/>
            </w:tabs>
            <w:rPr>
              <w:rFonts w:eastAsiaTheme="minorEastAsia"/>
              <w:noProof/>
              <w:lang w:eastAsia="fr-FR"/>
            </w:rPr>
          </w:pPr>
          <w:r>
            <w:rPr>
              <w:b/>
              <w:bCs/>
            </w:rPr>
            <w:fldChar w:fldCharType="begin"/>
          </w:r>
          <w:r>
            <w:rPr>
              <w:b/>
              <w:bCs/>
            </w:rPr>
            <w:instrText xml:space="preserve"> TOC \o "1-3" \h \z \u </w:instrText>
          </w:r>
          <w:r>
            <w:rPr>
              <w:b/>
              <w:bCs/>
            </w:rPr>
            <w:fldChar w:fldCharType="separate"/>
          </w:r>
          <w:hyperlink w:anchor="_Toc17840304" w:history="1">
            <w:r w:rsidR="00783210" w:rsidRPr="003104CA">
              <w:rPr>
                <w:rStyle w:val="Lienhypertexte"/>
                <w:noProof/>
              </w:rPr>
              <w:t>Résumé</w:t>
            </w:r>
            <w:r w:rsidR="00783210">
              <w:rPr>
                <w:noProof/>
                <w:webHidden/>
              </w:rPr>
              <w:tab/>
            </w:r>
            <w:r w:rsidR="00783210">
              <w:rPr>
                <w:noProof/>
                <w:webHidden/>
              </w:rPr>
              <w:fldChar w:fldCharType="begin"/>
            </w:r>
            <w:r w:rsidR="00783210">
              <w:rPr>
                <w:noProof/>
                <w:webHidden/>
              </w:rPr>
              <w:instrText xml:space="preserve"> PAGEREF _Toc17840304 \h </w:instrText>
            </w:r>
            <w:r w:rsidR="00783210">
              <w:rPr>
                <w:noProof/>
                <w:webHidden/>
              </w:rPr>
            </w:r>
            <w:r w:rsidR="00783210">
              <w:rPr>
                <w:noProof/>
                <w:webHidden/>
              </w:rPr>
              <w:fldChar w:fldCharType="separate"/>
            </w:r>
            <w:r w:rsidR="00783210">
              <w:rPr>
                <w:noProof/>
                <w:webHidden/>
              </w:rPr>
              <w:t>2</w:t>
            </w:r>
            <w:r w:rsidR="00783210">
              <w:rPr>
                <w:noProof/>
                <w:webHidden/>
              </w:rPr>
              <w:fldChar w:fldCharType="end"/>
            </w:r>
          </w:hyperlink>
        </w:p>
        <w:p w14:paraId="1557925F" w14:textId="2FBEB4C5" w:rsidR="00783210" w:rsidRDefault="008339A9">
          <w:pPr>
            <w:pStyle w:val="TM1"/>
            <w:tabs>
              <w:tab w:val="right" w:leader="dot" w:pos="9062"/>
            </w:tabs>
            <w:rPr>
              <w:rFonts w:eastAsiaTheme="minorEastAsia"/>
              <w:noProof/>
              <w:lang w:eastAsia="fr-FR"/>
            </w:rPr>
          </w:pPr>
          <w:hyperlink w:anchor="_Toc17840305" w:history="1">
            <w:r w:rsidR="00783210" w:rsidRPr="003104CA">
              <w:rPr>
                <w:rStyle w:val="Lienhypertexte"/>
                <w:noProof/>
              </w:rPr>
              <w:t>Principaux résultats</w:t>
            </w:r>
            <w:r w:rsidR="00783210">
              <w:rPr>
                <w:noProof/>
                <w:webHidden/>
              </w:rPr>
              <w:tab/>
            </w:r>
            <w:r w:rsidR="00783210">
              <w:rPr>
                <w:noProof/>
                <w:webHidden/>
              </w:rPr>
              <w:fldChar w:fldCharType="begin"/>
            </w:r>
            <w:r w:rsidR="00783210">
              <w:rPr>
                <w:noProof/>
                <w:webHidden/>
              </w:rPr>
              <w:instrText xml:space="preserve"> PAGEREF _Toc17840305 \h </w:instrText>
            </w:r>
            <w:r w:rsidR="00783210">
              <w:rPr>
                <w:noProof/>
                <w:webHidden/>
              </w:rPr>
            </w:r>
            <w:r w:rsidR="00783210">
              <w:rPr>
                <w:noProof/>
                <w:webHidden/>
              </w:rPr>
              <w:fldChar w:fldCharType="separate"/>
            </w:r>
            <w:r w:rsidR="00783210">
              <w:rPr>
                <w:noProof/>
                <w:webHidden/>
              </w:rPr>
              <w:t>3</w:t>
            </w:r>
            <w:r w:rsidR="00783210">
              <w:rPr>
                <w:noProof/>
                <w:webHidden/>
              </w:rPr>
              <w:fldChar w:fldCharType="end"/>
            </w:r>
          </w:hyperlink>
        </w:p>
        <w:p w14:paraId="5B9706F3" w14:textId="3DD6C64B" w:rsidR="00783210" w:rsidRDefault="008339A9">
          <w:pPr>
            <w:pStyle w:val="TM1"/>
            <w:tabs>
              <w:tab w:val="right" w:leader="dot" w:pos="9062"/>
            </w:tabs>
            <w:rPr>
              <w:rFonts w:eastAsiaTheme="minorEastAsia"/>
              <w:noProof/>
              <w:lang w:eastAsia="fr-FR"/>
            </w:rPr>
          </w:pPr>
          <w:hyperlink w:anchor="_Toc17840306" w:history="1">
            <w:r w:rsidR="00783210" w:rsidRPr="003104CA">
              <w:rPr>
                <w:rStyle w:val="Lienhypertexte"/>
                <w:noProof/>
              </w:rPr>
              <w:t>Liste des Figures</w:t>
            </w:r>
            <w:r w:rsidR="00783210">
              <w:rPr>
                <w:noProof/>
                <w:webHidden/>
              </w:rPr>
              <w:tab/>
            </w:r>
            <w:r w:rsidR="00783210">
              <w:rPr>
                <w:noProof/>
                <w:webHidden/>
              </w:rPr>
              <w:fldChar w:fldCharType="begin"/>
            </w:r>
            <w:r w:rsidR="00783210">
              <w:rPr>
                <w:noProof/>
                <w:webHidden/>
              </w:rPr>
              <w:instrText xml:space="preserve"> PAGEREF _Toc17840306 \h </w:instrText>
            </w:r>
            <w:r w:rsidR="00783210">
              <w:rPr>
                <w:noProof/>
                <w:webHidden/>
              </w:rPr>
            </w:r>
            <w:r w:rsidR="00783210">
              <w:rPr>
                <w:noProof/>
                <w:webHidden/>
              </w:rPr>
              <w:fldChar w:fldCharType="separate"/>
            </w:r>
            <w:r w:rsidR="00783210">
              <w:rPr>
                <w:noProof/>
                <w:webHidden/>
              </w:rPr>
              <w:t>6</w:t>
            </w:r>
            <w:r w:rsidR="00783210">
              <w:rPr>
                <w:noProof/>
                <w:webHidden/>
              </w:rPr>
              <w:fldChar w:fldCharType="end"/>
            </w:r>
          </w:hyperlink>
        </w:p>
        <w:p w14:paraId="4BF27A35" w14:textId="19081E50" w:rsidR="00783210" w:rsidRDefault="008339A9">
          <w:pPr>
            <w:pStyle w:val="TM1"/>
            <w:tabs>
              <w:tab w:val="right" w:leader="dot" w:pos="9062"/>
            </w:tabs>
            <w:rPr>
              <w:rFonts w:eastAsiaTheme="minorEastAsia"/>
              <w:noProof/>
              <w:lang w:eastAsia="fr-FR"/>
            </w:rPr>
          </w:pPr>
          <w:hyperlink w:anchor="_Toc17840307" w:history="1">
            <w:r w:rsidR="00783210" w:rsidRPr="003104CA">
              <w:rPr>
                <w:rStyle w:val="Lienhypertexte"/>
                <w:noProof/>
              </w:rPr>
              <w:t>Liste des tableaux</w:t>
            </w:r>
            <w:r w:rsidR="00783210">
              <w:rPr>
                <w:noProof/>
                <w:webHidden/>
              </w:rPr>
              <w:tab/>
            </w:r>
            <w:r w:rsidR="00783210">
              <w:rPr>
                <w:noProof/>
                <w:webHidden/>
              </w:rPr>
              <w:fldChar w:fldCharType="begin"/>
            </w:r>
            <w:r w:rsidR="00783210">
              <w:rPr>
                <w:noProof/>
                <w:webHidden/>
              </w:rPr>
              <w:instrText xml:space="preserve"> PAGEREF _Toc17840307 \h </w:instrText>
            </w:r>
            <w:r w:rsidR="00783210">
              <w:rPr>
                <w:noProof/>
                <w:webHidden/>
              </w:rPr>
            </w:r>
            <w:r w:rsidR="00783210">
              <w:rPr>
                <w:noProof/>
                <w:webHidden/>
              </w:rPr>
              <w:fldChar w:fldCharType="separate"/>
            </w:r>
            <w:r w:rsidR="00783210">
              <w:rPr>
                <w:noProof/>
                <w:webHidden/>
              </w:rPr>
              <w:t>6</w:t>
            </w:r>
            <w:r w:rsidR="00783210">
              <w:rPr>
                <w:noProof/>
                <w:webHidden/>
              </w:rPr>
              <w:fldChar w:fldCharType="end"/>
            </w:r>
          </w:hyperlink>
        </w:p>
        <w:p w14:paraId="30472C9B" w14:textId="39E8E8A0" w:rsidR="00783210" w:rsidRDefault="008339A9">
          <w:pPr>
            <w:pStyle w:val="TM1"/>
            <w:tabs>
              <w:tab w:val="left" w:pos="440"/>
              <w:tab w:val="right" w:leader="dot" w:pos="9062"/>
            </w:tabs>
            <w:rPr>
              <w:rFonts w:eastAsiaTheme="minorEastAsia"/>
              <w:noProof/>
              <w:lang w:eastAsia="fr-FR"/>
            </w:rPr>
          </w:pPr>
          <w:hyperlink w:anchor="_Toc17840308" w:history="1">
            <w:r w:rsidR="00783210" w:rsidRPr="003104CA">
              <w:rPr>
                <w:rStyle w:val="Lienhypertexte"/>
                <w:noProof/>
              </w:rPr>
              <w:t>I.</w:t>
            </w:r>
            <w:r w:rsidR="00783210">
              <w:rPr>
                <w:rFonts w:eastAsiaTheme="minorEastAsia"/>
                <w:noProof/>
                <w:lang w:eastAsia="fr-FR"/>
              </w:rPr>
              <w:tab/>
            </w:r>
            <w:r w:rsidR="00783210" w:rsidRPr="003104CA">
              <w:rPr>
                <w:rStyle w:val="Lienhypertexte"/>
                <w:noProof/>
              </w:rPr>
              <w:t>Contexte et Justification de l’étude</w:t>
            </w:r>
            <w:r w:rsidR="00783210">
              <w:rPr>
                <w:noProof/>
                <w:webHidden/>
              </w:rPr>
              <w:tab/>
            </w:r>
            <w:r w:rsidR="00783210">
              <w:rPr>
                <w:noProof/>
                <w:webHidden/>
              </w:rPr>
              <w:fldChar w:fldCharType="begin"/>
            </w:r>
            <w:r w:rsidR="00783210">
              <w:rPr>
                <w:noProof/>
                <w:webHidden/>
              </w:rPr>
              <w:instrText xml:space="preserve"> PAGEREF _Toc17840308 \h </w:instrText>
            </w:r>
            <w:r w:rsidR="00783210">
              <w:rPr>
                <w:noProof/>
                <w:webHidden/>
              </w:rPr>
            </w:r>
            <w:r w:rsidR="00783210">
              <w:rPr>
                <w:noProof/>
                <w:webHidden/>
              </w:rPr>
              <w:fldChar w:fldCharType="separate"/>
            </w:r>
            <w:r w:rsidR="00783210">
              <w:rPr>
                <w:noProof/>
                <w:webHidden/>
              </w:rPr>
              <w:t>7</w:t>
            </w:r>
            <w:r w:rsidR="00783210">
              <w:rPr>
                <w:noProof/>
                <w:webHidden/>
              </w:rPr>
              <w:fldChar w:fldCharType="end"/>
            </w:r>
          </w:hyperlink>
        </w:p>
        <w:p w14:paraId="3586F89F" w14:textId="02ADAD82" w:rsidR="00783210" w:rsidRDefault="008339A9">
          <w:pPr>
            <w:pStyle w:val="TM1"/>
            <w:tabs>
              <w:tab w:val="left" w:pos="440"/>
              <w:tab w:val="right" w:leader="dot" w:pos="9062"/>
            </w:tabs>
            <w:rPr>
              <w:rFonts w:eastAsiaTheme="minorEastAsia"/>
              <w:noProof/>
              <w:lang w:eastAsia="fr-FR"/>
            </w:rPr>
          </w:pPr>
          <w:hyperlink w:anchor="_Toc17840309" w:history="1">
            <w:r w:rsidR="00783210" w:rsidRPr="003104CA">
              <w:rPr>
                <w:rStyle w:val="Lienhypertexte"/>
                <w:noProof/>
              </w:rPr>
              <w:t>II.</w:t>
            </w:r>
            <w:r w:rsidR="00783210">
              <w:rPr>
                <w:rFonts w:eastAsiaTheme="minorEastAsia"/>
                <w:noProof/>
                <w:lang w:eastAsia="fr-FR"/>
              </w:rPr>
              <w:tab/>
            </w:r>
            <w:r w:rsidR="00783210" w:rsidRPr="003104CA">
              <w:rPr>
                <w:rStyle w:val="Lienhypertexte"/>
                <w:noProof/>
              </w:rPr>
              <w:t>Objectifs de l’étude</w:t>
            </w:r>
            <w:r w:rsidR="00783210">
              <w:rPr>
                <w:noProof/>
                <w:webHidden/>
              </w:rPr>
              <w:tab/>
            </w:r>
            <w:r w:rsidR="00783210">
              <w:rPr>
                <w:noProof/>
                <w:webHidden/>
              </w:rPr>
              <w:fldChar w:fldCharType="begin"/>
            </w:r>
            <w:r w:rsidR="00783210">
              <w:rPr>
                <w:noProof/>
                <w:webHidden/>
              </w:rPr>
              <w:instrText xml:space="preserve"> PAGEREF _Toc17840309 \h </w:instrText>
            </w:r>
            <w:r w:rsidR="00783210">
              <w:rPr>
                <w:noProof/>
                <w:webHidden/>
              </w:rPr>
            </w:r>
            <w:r w:rsidR="00783210">
              <w:rPr>
                <w:noProof/>
                <w:webHidden/>
              </w:rPr>
              <w:fldChar w:fldCharType="separate"/>
            </w:r>
            <w:r w:rsidR="00783210">
              <w:rPr>
                <w:noProof/>
                <w:webHidden/>
              </w:rPr>
              <w:t>8</w:t>
            </w:r>
            <w:r w:rsidR="00783210">
              <w:rPr>
                <w:noProof/>
                <w:webHidden/>
              </w:rPr>
              <w:fldChar w:fldCharType="end"/>
            </w:r>
          </w:hyperlink>
        </w:p>
        <w:p w14:paraId="15FCBC16" w14:textId="39FF21FC" w:rsidR="00783210" w:rsidRDefault="008339A9">
          <w:pPr>
            <w:pStyle w:val="TM1"/>
            <w:tabs>
              <w:tab w:val="left" w:pos="660"/>
              <w:tab w:val="right" w:leader="dot" w:pos="9062"/>
            </w:tabs>
            <w:rPr>
              <w:rFonts w:eastAsiaTheme="minorEastAsia"/>
              <w:noProof/>
              <w:lang w:eastAsia="fr-FR"/>
            </w:rPr>
          </w:pPr>
          <w:hyperlink w:anchor="_Toc17840310" w:history="1">
            <w:r w:rsidR="00783210" w:rsidRPr="003104CA">
              <w:rPr>
                <w:rStyle w:val="Lienhypertexte"/>
                <w:noProof/>
              </w:rPr>
              <w:t>III.</w:t>
            </w:r>
            <w:r w:rsidR="00783210">
              <w:rPr>
                <w:rFonts w:eastAsiaTheme="minorEastAsia"/>
                <w:noProof/>
                <w:lang w:eastAsia="fr-FR"/>
              </w:rPr>
              <w:tab/>
            </w:r>
            <w:r w:rsidR="00783210" w:rsidRPr="003104CA">
              <w:rPr>
                <w:rStyle w:val="Lienhypertexte"/>
                <w:noProof/>
              </w:rPr>
              <w:t>Revue de la littérature</w:t>
            </w:r>
            <w:r w:rsidR="00783210">
              <w:rPr>
                <w:noProof/>
                <w:webHidden/>
              </w:rPr>
              <w:tab/>
            </w:r>
            <w:r w:rsidR="00783210">
              <w:rPr>
                <w:noProof/>
                <w:webHidden/>
              </w:rPr>
              <w:fldChar w:fldCharType="begin"/>
            </w:r>
            <w:r w:rsidR="00783210">
              <w:rPr>
                <w:noProof/>
                <w:webHidden/>
              </w:rPr>
              <w:instrText xml:space="preserve"> PAGEREF _Toc17840310 \h </w:instrText>
            </w:r>
            <w:r w:rsidR="00783210">
              <w:rPr>
                <w:noProof/>
                <w:webHidden/>
              </w:rPr>
            </w:r>
            <w:r w:rsidR="00783210">
              <w:rPr>
                <w:noProof/>
                <w:webHidden/>
              </w:rPr>
              <w:fldChar w:fldCharType="separate"/>
            </w:r>
            <w:r w:rsidR="00783210">
              <w:rPr>
                <w:noProof/>
                <w:webHidden/>
              </w:rPr>
              <w:t>8</w:t>
            </w:r>
            <w:r w:rsidR="00783210">
              <w:rPr>
                <w:noProof/>
                <w:webHidden/>
              </w:rPr>
              <w:fldChar w:fldCharType="end"/>
            </w:r>
          </w:hyperlink>
        </w:p>
        <w:p w14:paraId="1BC8670B" w14:textId="64A8FC3D" w:rsidR="00783210" w:rsidRDefault="008339A9">
          <w:pPr>
            <w:pStyle w:val="TM2"/>
            <w:tabs>
              <w:tab w:val="left" w:pos="660"/>
              <w:tab w:val="right" w:leader="dot" w:pos="9062"/>
            </w:tabs>
            <w:rPr>
              <w:rFonts w:eastAsiaTheme="minorEastAsia"/>
              <w:noProof/>
              <w:lang w:eastAsia="fr-FR"/>
            </w:rPr>
          </w:pPr>
          <w:hyperlink w:anchor="_Toc17840311" w:history="1">
            <w:r w:rsidR="00783210" w:rsidRPr="003104CA">
              <w:rPr>
                <w:rStyle w:val="Lienhypertexte"/>
                <w:noProof/>
              </w:rPr>
              <w:t>1.</w:t>
            </w:r>
            <w:r w:rsidR="00783210">
              <w:rPr>
                <w:rFonts w:eastAsiaTheme="minorEastAsia"/>
                <w:noProof/>
                <w:lang w:eastAsia="fr-FR"/>
              </w:rPr>
              <w:tab/>
            </w:r>
            <w:r w:rsidR="00783210" w:rsidRPr="003104CA">
              <w:rPr>
                <w:rStyle w:val="Lienhypertexte"/>
                <w:noProof/>
              </w:rPr>
              <w:t>Littérature sur les risques et stratégies d’adaptation des éleveurs en élevage pastoral</w:t>
            </w:r>
            <w:r w:rsidR="00783210">
              <w:rPr>
                <w:noProof/>
                <w:webHidden/>
              </w:rPr>
              <w:tab/>
            </w:r>
            <w:r w:rsidR="00783210">
              <w:rPr>
                <w:noProof/>
                <w:webHidden/>
              </w:rPr>
              <w:fldChar w:fldCharType="begin"/>
            </w:r>
            <w:r w:rsidR="00783210">
              <w:rPr>
                <w:noProof/>
                <w:webHidden/>
              </w:rPr>
              <w:instrText xml:space="preserve"> PAGEREF _Toc17840311 \h </w:instrText>
            </w:r>
            <w:r w:rsidR="00783210">
              <w:rPr>
                <w:noProof/>
                <w:webHidden/>
              </w:rPr>
            </w:r>
            <w:r w:rsidR="00783210">
              <w:rPr>
                <w:noProof/>
                <w:webHidden/>
              </w:rPr>
              <w:fldChar w:fldCharType="separate"/>
            </w:r>
            <w:r w:rsidR="00783210">
              <w:rPr>
                <w:noProof/>
                <w:webHidden/>
              </w:rPr>
              <w:t>8</w:t>
            </w:r>
            <w:r w:rsidR="00783210">
              <w:rPr>
                <w:noProof/>
                <w:webHidden/>
              </w:rPr>
              <w:fldChar w:fldCharType="end"/>
            </w:r>
          </w:hyperlink>
        </w:p>
        <w:p w14:paraId="7225DCAC" w14:textId="3EBBA8EB" w:rsidR="00783210" w:rsidRDefault="008339A9">
          <w:pPr>
            <w:pStyle w:val="TM3"/>
            <w:tabs>
              <w:tab w:val="left" w:pos="880"/>
              <w:tab w:val="right" w:leader="dot" w:pos="9062"/>
            </w:tabs>
            <w:rPr>
              <w:rFonts w:eastAsiaTheme="minorEastAsia"/>
              <w:noProof/>
              <w:lang w:eastAsia="fr-FR"/>
            </w:rPr>
          </w:pPr>
          <w:hyperlink w:anchor="_Toc17840312" w:history="1">
            <w:r w:rsidR="00783210" w:rsidRPr="003104CA">
              <w:rPr>
                <w:rStyle w:val="Lienhypertexte"/>
                <w:noProof/>
              </w:rPr>
              <w:t>a.</w:t>
            </w:r>
            <w:r w:rsidR="00783210">
              <w:rPr>
                <w:rFonts w:eastAsiaTheme="minorEastAsia"/>
                <w:noProof/>
                <w:lang w:eastAsia="fr-FR"/>
              </w:rPr>
              <w:tab/>
            </w:r>
            <w:r w:rsidR="00783210" w:rsidRPr="003104CA">
              <w:rPr>
                <w:rStyle w:val="Lienhypertexte"/>
                <w:noProof/>
              </w:rPr>
              <w:t>Les risques humains</w:t>
            </w:r>
            <w:r w:rsidR="00783210">
              <w:rPr>
                <w:noProof/>
                <w:webHidden/>
              </w:rPr>
              <w:tab/>
            </w:r>
            <w:r w:rsidR="00783210">
              <w:rPr>
                <w:noProof/>
                <w:webHidden/>
              </w:rPr>
              <w:fldChar w:fldCharType="begin"/>
            </w:r>
            <w:r w:rsidR="00783210">
              <w:rPr>
                <w:noProof/>
                <w:webHidden/>
              </w:rPr>
              <w:instrText xml:space="preserve"> PAGEREF _Toc17840312 \h </w:instrText>
            </w:r>
            <w:r w:rsidR="00783210">
              <w:rPr>
                <w:noProof/>
                <w:webHidden/>
              </w:rPr>
            </w:r>
            <w:r w:rsidR="00783210">
              <w:rPr>
                <w:noProof/>
                <w:webHidden/>
              </w:rPr>
              <w:fldChar w:fldCharType="separate"/>
            </w:r>
            <w:r w:rsidR="00783210">
              <w:rPr>
                <w:noProof/>
                <w:webHidden/>
              </w:rPr>
              <w:t>9</w:t>
            </w:r>
            <w:r w:rsidR="00783210">
              <w:rPr>
                <w:noProof/>
                <w:webHidden/>
              </w:rPr>
              <w:fldChar w:fldCharType="end"/>
            </w:r>
          </w:hyperlink>
        </w:p>
        <w:p w14:paraId="318F9DDC" w14:textId="721312B3" w:rsidR="00783210" w:rsidRDefault="008339A9">
          <w:pPr>
            <w:pStyle w:val="TM3"/>
            <w:tabs>
              <w:tab w:val="left" w:pos="880"/>
              <w:tab w:val="right" w:leader="dot" w:pos="9062"/>
            </w:tabs>
            <w:rPr>
              <w:rFonts w:eastAsiaTheme="minorEastAsia"/>
              <w:noProof/>
              <w:lang w:eastAsia="fr-FR"/>
            </w:rPr>
          </w:pPr>
          <w:hyperlink w:anchor="_Toc17840313" w:history="1">
            <w:r w:rsidR="00783210" w:rsidRPr="003104CA">
              <w:rPr>
                <w:rStyle w:val="Lienhypertexte"/>
                <w:noProof/>
              </w:rPr>
              <w:t>b.</w:t>
            </w:r>
            <w:r w:rsidR="00783210">
              <w:rPr>
                <w:rFonts w:eastAsiaTheme="minorEastAsia"/>
                <w:noProof/>
                <w:lang w:eastAsia="fr-FR"/>
              </w:rPr>
              <w:tab/>
            </w:r>
            <w:r w:rsidR="00783210" w:rsidRPr="003104CA">
              <w:rPr>
                <w:rStyle w:val="Lienhypertexte"/>
                <w:noProof/>
              </w:rPr>
              <w:t>Les risques affectant le troupeau</w:t>
            </w:r>
            <w:r w:rsidR="00783210">
              <w:rPr>
                <w:noProof/>
                <w:webHidden/>
              </w:rPr>
              <w:tab/>
            </w:r>
            <w:r w:rsidR="00783210">
              <w:rPr>
                <w:noProof/>
                <w:webHidden/>
              </w:rPr>
              <w:fldChar w:fldCharType="begin"/>
            </w:r>
            <w:r w:rsidR="00783210">
              <w:rPr>
                <w:noProof/>
                <w:webHidden/>
              </w:rPr>
              <w:instrText xml:space="preserve"> PAGEREF _Toc17840313 \h </w:instrText>
            </w:r>
            <w:r w:rsidR="00783210">
              <w:rPr>
                <w:noProof/>
                <w:webHidden/>
              </w:rPr>
            </w:r>
            <w:r w:rsidR="00783210">
              <w:rPr>
                <w:noProof/>
                <w:webHidden/>
              </w:rPr>
              <w:fldChar w:fldCharType="separate"/>
            </w:r>
            <w:r w:rsidR="00783210">
              <w:rPr>
                <w:noProof/>
                <w:webHidden/>
              </w:rPr>
              <w:t>9</w:t>
            </w:r>
            <w:r w:rsidR="00783210">
              <w:rPr>
                <w:noProof/>
                <w:webHidden/>
              </w:rPr>
              <w:fldChar w:fldCharType="end"/>
            </w:r>
          </w:hyperlink>
        </w:p>
        <w:p w14:paraId="6DA7BFA2" w14:textId="3E0E93FE" w:rsidR="00783210" w:rsidRDefault="008339A9">
          <w:pPr>
            <w:pStyle w:val="TM2"/>
            <w:tabs>
              <w:tab w:val="left" w:pos="660"/>
              <w:tab w:val="right" w:leader="dot" w:pos="9062"/>
            </w:tabs>
            <w:rPr>
              <w:rFonts w:eastAsiaTheme="minorEastAsia"/>
              <w:noProof/>
              <w:lang w:eastAsia="fr-FR"/>
            </w:rPr>
          </w:pPr>
          <w:hyperlink w:anchor="_Toc17840314" w:history="1">
            <w:r w:rsidR="00783210" w:rsidRPr="003104CA">
              <w:rPr>
                <w:rStyle w:val="Lienhypertexte"/>
                <w:noProof/>
              </w:rPr>
              <w:t>c.</w:t>
            </w:r>
            <w:r w:rsidR="00783210">
              <w:rPr>
                <w:rFonts w:eastAsiaTheme="minorEastAsia"/>
                <w:noProof/>
                <w:lang w:eastAsia="fr-FR"/>
              </w:rPr>
              <w:tab/>
            </w:r>
            <w:r w:rsidR="00783210" w:rsidRPr="003104CA">
              <w:rPr>
                <w:rStyle w:val="Lienhypertexte"/>
                <w:noProof/>
              </w:rPr>
              <w:t>Risques liés aux tensions sociales et problèmes de sécurité</w:t>
            </w:r>
            <w:r w:rsidR="00783210">
              <w:rPr>
                <w:noProof/>
                <w:webHidden/>
              </w:rPr>
              <w:tab/>
            </w:r>
            <w:r w:rsidR="00783210">
              <w:rPr>
                <w:noProof/>
                <w:webHidden/>
              </w:rPr>
              <w:fldChar w:fldCharType="begin"/>
            </w:r>
            <w:r w:rsidR="00783210">
              <w:rPr>
                <w:noProof/>
                <w:webHidden/>
              </w:rPr>
              <w:instrText xml:space="preserve"> PAGEREF _Toc17840314 \h </w:instrText>
            </w:r>
            <w:r w:rsidR="00783210">
              <w:rPr>
                <w:noProof/>
                <w:webHidden/>
              </w:rPr>
            </w:r>
            <w:r w:rsidR="00783210">
              <w:rPr>
                <w:noProof/>
                <w:webHidden/>
              </w:rPr>
              <w:fldChar w:fldCharType="separate"/>
            </w:r>
            <w:r w:rsidR="00783210">
              <w:rPr>
                <w:noProof/>
                <w:webHidden/>
              </w:rPr>
              <w:t>10</w:t>
            </w:r>
            <w:r w:rsidR="00783210">
              <w:rPr>
                <w:noProof/>
                <w:webHidden/>
              </w:rPr>
              <w:fldChar w:fldCharType="end"/>
            </w:r>
          </w:hyperlink>
        </w:p>
        <w:p w14:paraId="576FAB54" w14:textId="2B425FA3" w:rsidR="00783210" w:rsidRDefault="008339A9">
          <w:pPr>
            <w:pStyle w:val="TM2"/>
            <w:tabs>
              <w:tab w:val="left" w:pos="660"/>
              <w:tab w:val="right" w:leader="dot" w:pos="9062"/>
            </w:tabs>
            <w:rPr>
              <w:rFonts w:eastAsiaTheme="minorEastAsia"/>
              <w:noProof/>
              <w:lang w:eastAsia="fr-FR"/>
            </w:rPr>
          </w:pPr>
          <w:hyperlink w:anchor="_Toc17840315" w:history="1">
            <w:r w:rsidR="00783210" w:rsidRPr="003104CA">
              <w:rPr>
                <w:rStyle w:val="Lienhypertexte"/>
                <w:noProof/>
              </w:rPr>
              <w:t>2.</w:t>
            </w:r>
            <w:r w:rsidR="00783210">
              <w:rPr>
                <w:rFonts w:eastAsiaTheme="minorEastAsia"/>
                <w:noProof/>
                <w:lang w:eastAsia="fr-FR"/>
              </w:rPr>
              <w:tab/>
            </w:r>
            <w:r w:rsidR="00783210" w:rsidRPr="003104CA">
              <w:rPr>
                <w:rStyle w:val="Lienhypertexte"/>
                <w:noProof/>
              </w:rPr>
              <w:t>Littérature sur les déterminants de la souscription à l’assurance indicielle bétail</w:t>
            </w:r>
            <w:r w:rsidR="00783210">
              <w:rPr>
                <w:noProof/>
                <w:webHidden/>
              </w:rPr>
              <w:tab/>
            </w:r>
            <w:r w:rsidR="00783210">
              <w:rPr>
                <w:noProof/>
                <w:webHidden/>
              </w:rPr>
              <w:fldChar w:fldCharType="begin"/>
            </w:r>
            <w:r w:rsidR="00783210">
              <w:rPr>
                <w:noProof/>
                <w:webHidden/>
              </w:rPr>
              <w:instrText xml:space="preserve"> PAGEREF _Toc17840315 \h </w:instrText>
            </w:r>
            <w:r w:rsidR="00783210">
              <w:rPr>
                <w:noProof/>
                <w:webHidden/>
              </w:rPr>
            </w:r>
            <w:r w:rsidR="00783210">
              <w:rPr>
                <w:noProof/>
                <w:webHidden/>
              </w:rPr>
              <w:fldChar w:fldCharType="separate"/>
            </w:r>
            <w:r w:rsidR="00783210">
              <w:rPr>
                <w:noProof/>
                <w:webHidden/>
              </w:rPr>
              <w:t>10</w:t>
            </w:r>
            <w:r w:rsidR="00783210">
              <w:rPr>
                <w:noProof/>
                <w:webHidden/>
              </w:rPr>
              <w:fldChar w:fldCharType="end"/>
            </w:r>
          </w:hyperlink>
        </w:p>
        <w:p w14:paraId="720C8A8E" w14:textId="464D580B" w:rsidR="00783210" w:rsidRDefault="008339A9">
          <w:pPr>
            <w:pStyle w:val="TM3"/>
            <w:tabs>
              <w:tab w:val="left" w:pos="880"/>
              <w:tab w:val="right" w:leader="dot" w:pos="9062"/>
            </w:tabs>
            <w:rPr>
              <w:rFonts w:eastAsiaTheme="minorEastAsia"/>
              <w:noProof/>
              <w:lang w:eastAsia="fr-FR"/>
            </w:rPr>
          </w:pPr>
          <w:hyperlink w:anchor="_Toc17840316" w:history="1">
            <w:r w:rsidR="00783210" w:rsidRPr="003104CA">
              <w:rPr>
                <w:rStyle w:val="Lienhypertexte"/>
                <w:noProof/>
              </w:rPr>
              <w:t>a.</w:t>
            </w:r>
            <w:r w:rsidR="00783210">
              <w:rPr>
                <w:rFonts w:eastAsiaTheme="minorEastAsia"/>
                <w:noProof/>
                <w:lang w:eastAsia="fr-FR"/>
              </w:rPr>
              <w:tab/>
            </w:r>
            <w:r w:rsidR="00783210" w:rsidRPr="003104CA">
              <w:rPr>
                <w:rStyle w:val="Lienhypertexte"/>
                <w:noProof/>
              </w:rPr>
              <w:t>Le niveau de richesse des éleveurs</w:t>
            </w:r>
            <w:r w:rsidR="00783210">
              <w:rPr>
                <w:noProof/>
                <w:webHidden/>
              </w:rPr>
              <w:tab/>
            </w:r>
            <w:r w:rsidR="00783210">
              <w:rPr>
                <w:noProof/>
                <w:webHidden/>
              </w:rPr>
              <w:fldChar w:fldCharType="begin"/>
            </w:r>
            <w:r w:rsidR="00783210">
              <w:rPr>
                <w:noProof/>
                <w:webHidden/>
              </w:rPr>
              <w:instrText xml:space="preserve"> PAGEREF _Toc17840316 \h </w:instrText>
            </w:r>
            <w:r w:rsidR="00783210">
              <w:rPr>
                <w:noProof/>
                <w:webHidden/>
              </w:rPr>
            </w:r>
            <w:r w:rsidR="00783210">
              <w:rPr>
                <w:noProof/>
                <w:webHidden/>
              </w:rPr>
              <w:fldChar w:fldCharType="separate"/>
            </w:r>
            <w:r w:rsidR="00783210">
              <w:rPr>
                <w:noProof/>
                <w:webHidden/>
              </w:rPr>
              <w:t>11</w:t>
            </w:r>
            <w:r w:rsidR="00783210">
              <w:rPr>
                <w:noProof/>
                <w:webHidden/>
              </w:rPr>
              <w:fldChar w:fldCharType="end"/>
            </w:r>
          </w:hyperlink>
        </w:p>
        <w:p w14:paraId="662C7001" w14:textId="150F4227" w:rsidR="00783210" w:rsidRDefault="008339A9">
          <w:pPr>
            <w:pStyle w:val="TM3"/>
            <w:tabs>
              <w:tab w:val="left" w:pos="880"/>
              <w:tab w:val="right" w:leader="dot" w:pos="9062"/>
            </w:tabs>
            <w:rPr>
              <w:rFonts w:eastAsiaTheme="minorEastAsia"/>
              <w:noProof/>
              <w:lang w:eastAsia="fr-FR"/>
            </w:rPr>
          </w:pPr>
          <w:hyperlink w:anchor="_Toc17840317" w:history="1">
            <w:r w:rsidR="00783210" w:rsidRPr="003104CA">
              <w:rPr>
                <w:rStyle w:val="Lienhypertexte"/>
                <w:noProof/>
              </w:rPr>
              <w:t>b.</w:t>
            </w:r>
            <w:r w:rsidR="00783210">
              <w:rPr>
                <w:rFonts w:eastAsiaTheme="minorEastAsia"/>
                <w:noProof/>
                <w:lang w:eastAsia="fr-FR"/>
              </w:rPr>
              <w:tab/>
            </w:r>
            <w:r w:rsidR="00783210" w:rsidRPr="003104CA">
              <w:rPr>
                <w:rStyle w:val="Lienhypertexte"/>
                <w:noProof/>
              </w:rPr>
              <w:t>L’investissement, l’épargne et le niveau de revenu</w:t>
            </w:r>
            <w:r w:rsidR="00783210">
              <w:rPr>
                <w:noProof/>
                <w:webHidden/>
              </w:rPr>
              <w:tab/>
            </w:r>
            <w:r w:rsidR="00783210">
              <w:rPr>
                <w:noProof/>
                <w:webHidden/>
              </w:rPr>
              <w:fldChar w:fldCharType="begin"/>
            </w:r>
            <w:r w:rsidR="00783210">
              <w:rPr>
                <w:noProof/>
                <w:webHidden/>
              </w:rPr>
              <w:instrText xml:space="preserve"> PAGEREF _Toc17840317 \h </w:instrText>
            </w:r>
            <w:r w:rsidR="00783210">
              <w:rPr>
                <w:noProof/>
                <w:webHidden/>
              </w:rPr>
            </w:r>
            <w:r w:rsidR="00783210">
              <w:rPr>
                <w:noProof/>
                <w:webHidden/>
              </w:rPr>
              <w:fldChar w:fldCharType="separate"/>
            </w:r>
            <w:r w:rsidR="00783210">
              <w:rPr>
                <w:noProof/>
                <w:webHidden/>
              </w:rPr>
              <w:t>11</w:t>
            </w:r>
            <w:r w:rsidR="00783210">
              <w:rPr>
                <w:noProof/>
                <w:webHidden/>
              </w:rPr>
              <w:fldChar w:fldCharType="end"/>
            </w:r>
          </w:hyperlink>
        </w:p>
        <w:p w14:paraId="51D1D178" w14:textId="08A56930" w:rsidR="00783210" w:rsidRDefault="008339A9">
          <w:pPr>
            <w:pStyle w:val="TM3"/>
            <w:tabs>
              <w:tab w:val="left" w:pos="880"/>
              <w:tab w:val="right" w:leader="dot" w:pos="9062"/>
            </w:tabs>
            <w:rPr>
              <w:rFonts w:eastAsiaTheme="minorEastAsia"/>
              <w:noProof/>
              <w:lang w:eastAsia="fr-FR"/>
            </w:rPr>
          </w:pPr>
          <w:hyperlink w:anchor="_Toc17840318" w:history="1">
            <w:r w:rsidR="00783210" w:rsidRPr="003104CA">
              <w:rPr>
                <w:rStyle w:val="Lienhypertexte"/>
                <w:noProof/>
              </w:rPr>
              <w:t>c.</w:t>
            </w:r>
            <w:r w:rsidR="00783210">
              <w:rPr>
                <w:rFonts w:eastAsiaTheme="minorEastAsia"/>
                <w:noProof/>
                <w:lang w:eastAsia="fr-FR"/>
              </w:rPr>
              <w:tab/>
            </w:r>
            <w:r w:rsidR="00783210" w:rsidRPr="003104CA">
              <w:rPr>
                <w:rStyle w:val="Lienhypertexte"/>
                <w:noProof/>
              </w:rPr>
              <w:t>Risque de base et prix du produit</w:t>
            </w:r>
            <w:r w:rsidR="00783210">
              <w:rPr>
                <w:noProof/>
                <w:webHidden/>
              </w:rPr>
              <w:tab/>
            </w:r>
            <w:r w:rsidR="00783210">
              <w:rPr>
                <w:noProof/>
                <w:webHidden/>
              </w:rPr>
              <w:fldChar w:fldCharType="begin"/>
            </w:r>
            <w:r w:rsidR="00783210">
              <w:rPr>
                <w:noProof/>
                <w:webHidden/>
              </w:rPr>
              <w:instrText xml:space="preserve"> PAGEREF _Toc17840318 \h </w:instrText>
            </w:r>
            <w:r w:rsidR="00783210">
              <w:rPr>
                <w:noProof/>
                <w:webHidden/>
              </w:rPr>
            </w:r>
            <w:r w:rsidR="00783210">
              <w:rPr>
                <w:noProof/>
                <w:webHidden/>
              </w:rPr>
              <w:fldChar w:fldCharType="separate"/>
            </w:r>
            <w:r w:rsidR="00783210">
              <w:rPr>
                <w:noProof/>
                <w:webHidden/>
              </w:rPr>
              <w:t>11</w:t>
            </w:r>
            <w:r w:rsidR="00783210">
              <w:rPr>
                <w:noProof/>
                <w:webHidden/>
              </w:rPr>
              <w:fldChar w:fldCharType="end"/>
            </w:r>
          </w:hyperlink>
        </w:p>
        <w:p w14:paraId="795DD323" w14:textId="137B502A" w:rsidR="00783210" w:rsidRDefault="008339A9">
          <w:pPr>
            <w:pStyle w:val="TM3"/>
            <w:tabs>
              <w:tab w:val="left" w:pos="880"/>
              <w:tab w:val="right" w:leader="dot" w:pos="9062"/>
            </w:tabs>
            <w:rPr>
              <w:rFonts w:eastAsiaTheme="minorEastAsia"/>
              <w:noProof/>
              <w:lang w:eastAsia="fr-FR"/>
            </w:rPr>
          </w:pPr>
          <w:hyperlink w:anchor="_Toc17840319" w:history="1">
            <w:r w:rsidR="00783210" w:rsidRPr="003104CA">
              <w:rPr>
                <w:rStyle w:val="Lienhypertexte"/>
                <w:noProof/>
              </w:rPr>
              <w:t>d.</w:t>
            </w:r>
            <w:r w:rsidR="00783210">
              <w:rPr>
                <w:rFonts w:eastAsiaTheme="minorEastAsia"/>
                <w:noProof/>
                <w:lang w:eastAsia="fr-FR"/>
              </w:rPr>
              <w:tab/>
            </w:r>
            <w:r w:rsidR="00783210" w:rsidRPr="003104CA">
              <w:rPr>
                <w:rStyle w:val="Lienhypertexte"/>
                <w:noProof/>
              </w:rPr>
              <w:t>Accès au crédit</w:t>
            </w:r>
            <w:r w:rsidR="00783210">
              <w:rPr>
                <w:noProof/>
                <w:webHidden/>
              </w:rPr>
              <w:tab/>
            </w:r>
            <w:r w:rsidR="00783210">
              <w:rPr>
                <w:noProof/>
                <w:webHidden/>
              </w:rPr>
              <w:fldChar w:fldCharType="begin"/>
            </w:r>
            <w:r w:rsidR="00783210">
              <w:rPr>
                <w:noProof/>
                <w:webHidden/>
              </w:rPr>
              <w:instrText xml:space="preserve"> PAGEREF _Toc17840319 \h </w:instrText>
            </w:r>
            <w:r w:rsidR="00783210">
              <w:rPr>
                <w:noProof/>
                <w:webHidden/>
              </w:rPr>
            </w:r>
            <w:r w:rsidR="00783210">
              <w:rPr>
                <w:noProof/>
                <w:webHidden/>
              </w:rPr>
              <w:fldChar w:fldCharType="separate"/>
            </w:r>
            <w:r w:rsidR="00783210">
              <w:rPr>
                <w:noProof/>
                <w:webHidden/>
              </w:rPr>
              <w:t>11</w:t>
            </w:r>
            <w:r w:rsidR="00783210">
              <w:rPr>
                <w:noProof/>
                <w:webHidden/>
              </w:rPr>
              <w:fldChar w:fldCharType="end"/>
            </w:r>
          </w:hyperlink>
        </w:p>
        <w:p w14:paraId="1F79F129" w14:textId="1D843377" w:rsidR="00783210" w:rsidRDefault="008339A9">
          <w:pPr>
            <w:pStyle w:val="TM3"/>
            <w:tabs>
              <w:tab w:val="left" w:pos="880"/>
              <w:tab w:val="right" w:leader="dot" w:pos="9062"/>
            </w:tabs>
            <w:rPr>
              <w:rFonts w:eastAsiaTheme="minorEastAsia"/>
              <w:noProof/>
              <w:lang w:eastAsia="fr-FR"/>
            </w:rPr>
          </w:pPr>
          <w:hyperlink w:anchor="_Toc17840320" w:history="1">
            <w:r w:rsidR="00783210" w:rsidRPr="003104CA">
              <w:rPr>
                <w:rStyle w:val="Lienhypertexte"/>
                <w:noProof/>
              </w:rPr>
              <w:t>e.</w:t>
            </w:r>
            <w:r w:rsidR="00783210">
              <w:rPr>
                <w:rFonts w:eastAsiaTheme="minorEastAsia"/>
                <w:noProof/>
                <w:lang w:eastAsia="fr-FR"/>
              </w:rPr>
              <w:tab/>
            </w:r>
            <w:r w:rsidR="00783210" w:rsidRPr="003104CA">
              <w:rPr>
                <w:rStyle w:val="Lienhypertexte"/>
                <w:noProof/>
              </w:rPr>
              <w:t>Taux d’intérêt et financement par les banques</w:t>
            </w:r>
            <w:r w:rsidR="00783210">
              <w:rPr>
                <w:noProof/>
                <w:webHidden/>
              </w:rPr>
              <w:tab/>
            </w:r>
            <w:r w:rsidR="00783210">
              <w:rPr>
                <w:noProof/>
                <w:webHidden/>
              </w:rPr>
              <w:fldChar w:fldCharType="begin"/>
            </w:r>
            <w:r w:rsidR="00783210">
              <w:rPr>
                <w:noProof/>
                <w:webHidden/>
              </w:rPr>
              <w:instrText xml:space="preserve"> PAGEREF _Toc17840320 \h </w:instrText>
            </w:r>
            <w:r w:rsidR="00783210">
              <w:rPr>
                <w:noProof/>
                <w:webHidden/>
              </w:rPr>
            </w:r>
            <w:r w:rsidR="00783210">
              <w:rPr>
                <w:noProof/>
                <w:webHidden/>
              </w:rPr>
              <w:fldChar w:fldCharType="separate"/>
            </w:r>
            <w:r w:rsidR="00783210">
              <w:rPr>
                <w:noProof/>
                <w:webHidden/>
              </w:rPr>
              <w:t>12</w:t>
            </w:r>
            <w:r w:rsidR="00783210">
              <w:rPr>
                <w:noProof/>
                <w:webHidden/>
              </w:rPr>
              <w:fldChar w:fldCharType="end"/>
            </w:r>
          </w:hyperlink>
        </w:p>
        <w:p w14:paraId="242566B9" w14:textId="37F5A517" w:rsidR="00783210" w:rsidRDefault="008339A9">
          <w:pPr>
            <w:pStyle w:val="TM3"/>
            <w:tabs>
              <w:tab w:val="left" w:pos="880"/>
              <w:tab w:val="right" w:leader="dot" w:pos="9062"/>
            </w:tabs>
            <w:rPr>
              <w:rFonts w:eastAsiaTheme="minorEastAsia"/>
              <w:noProof/>
              <w:lang w:eastAsia="fr-FR"/>
            </w:rPr>
          </w:pPr>
          <w:hyperlink w:anchor="_Toc17840321" w:history="1">
            <w:r w:rsidR="00783210" w:rsidRPr="003104CA">
              <w:rPr>
                <w:rStyle w:val="Lienhypertexte"/>
                <w:noProof/>
              </w:rPr>
              <w:t>f.</w:t>
            </w:r>
            <w:r w:rsidR="00783210">
              <w:rPr>
                <w:rFonts w:eastAsiaTheme="minorEastAsia"/>
                <w:noProof/>
                <w:lang w:eastAsia="fr-FR"/>
              </w:rPr>
              <w:tab/>
            </w:r>
            <w:r w:rsidR="00783210" w:rsidRPr="003104CA">
              <w:rPr>
                <w:rStyle w:val="Lienhypertexte"/>
                <w:noProof/>
              </w:rPr>
              <w:t>Aspects liés au genre</w:t>
            </w:r>
            <w:r w:rsidR="00783210">
              <w:rPr>
                <w:noProof/>
                <w:webHidden/>
              </w:rPr>
              <w:tab/>
            </w:r>
            <w:r w:rsidR="00783210">
              <w:rPr>
                <w:noProof/>
                <w:webHidden/>
              </w:rPr>
              <w:fldChar w:fldCharType="begin"/>
            </w:r>
            <w:r w:rsidR="00783210">
              <w:rPr>
                <w:noProof/>
                <w:webHidden/>
              </w:rPr>
              <w:instrText xml:space="preserve"> PAGEREF _Toc17840321 \h </w:instrText>
            </w:r>
            <w:r w:rsidR="00783210">
              <w:rPr>
                <w:noProof/>
                <w:webHidden/>
              </w:rPr>
            </w:r>
            <w:r w:rsidR="00783210">
              <w:rPr>
                <w:noProof/>
                <w:webHidden/>
              </w:rPr>
              <w:fldChar w:fldCharType="separate"/>
            </w:r>
            <w:r w:rsidR="00783210">
              <w:rPr>
                <w:noProof/>
                <w:webHidden/>
              </w:rPr>
              <w:t>12</w:t>
            </w:r>
            <w:r w:rsidR="00783210">
              <w:rPr>
                <w:noProof/>
                <w:webHidden/>
              </w:rPr>
              <w:fldChar w:fldCharType="end"/>
            </w:r>
          </w:hyperlink>
        </w:p>
        <w:p w14:paraId="49E27CDB" w14:textId="24925D0D" w:rsidR="00783210" w:rsidRDefault="008339A9">
          <w:pPr>
            <w:pStyle w:val="TM3"/>
            <w:tabs>
              <w:tab w:val="left" w:pos="880"/>
              <w:tab w:val="right" w:leader="dot" w:pos="9062"/>
            </w:tabs>
            <w:rPr>
              <w:rFonts w:eastAsiaTheme="minorEastAsia"/>
              <w:noProof/>
              <w:lang w:eastAsia="fr-FR"/>
            </w:rPr>
          </w:pPr>
          <w:hyperlink w:anchor="_Toc17840322" w:history="1">
            <w:r w:rsidR="00783210" w:rsidRPr="003104CA">
              <w:rPr>
                <w:rStyle w:val="Lienhypertexte"/>
                <w:noProof/>
              </w:rPr>
              <w:t>g.</w:t>
            </w:r>
            <w:r w:rsidR="00783210">
              <w:rPr>
                <w:rFonts w:eastAsiaTheme="minorEastAsia"/>
                <w:noProof/>
                <w:lang w:eastAsia="fr-FR"/>
              </w:rPr>
              <w:tab/>
            </w:r>
            <w:r w:rsidR="00783210" w:rsidRPr="003104CA">
              <w:rPr>
                <w:rStyle w:val="Lienhypertexte"/>
                <w:noProof/>
              </w:rPr>
              <w:t>Niveau d’éducation</w:t>
            </w:r>
            <w:r w:rsidR="00783210">
              <w:rPr>
                <w:noProof/>
                <w:webHidden/>
              </w:rPr>
              <w:tab/>
            </w:r>
            <w:r w:rsidR="00783210">
              <w:rPr>
                <w:noProof/>
                <w:webHidden/>
              </w:rPr>
              <w:fldChar w:fldCharType="begin"/>
            </w:r>
            <w:r w:rsidR="00783210">
              <w:rPr>
                <w:noProof/>
                <w:webHidden/>
              </w:rPr>
              <w:instrText xml:space="preserve"> PAGEREF _Toc17840322 \h </w:instrText>
            </w:r>
            <w:r w:rsidR="00783210">
              <w:rPr>
                <w:noProof/>
                <w:webHidden/>
              </w:rPr>
            </w:r>
            <w:r w:rsidR="00783210">
              <w:rPr>
                <w:noProof/>
                <w:webHidden/>
              </w:rPr>
              <w:fldChar w:fldCharType="separate"/>
            </w:r>
            <w:r w:rsidR="00783210">
              <w:rPr>
                <w:noProof/>
                <w:webHidden/>
              </w:rPr>
              <w:t>12</w:t>
            </w:r>
            <w:r w:rsidR="00783210">
              <w:rPr>
                <w:noProof/>
                <w:webHidden/>
              </w:rPr>
              <w:fldChar w:fldCharType="end"/>
            </w:r>
          </w:hyperlink>
        </w:p>
        <w:p w14:paraId="10DCB980" w14:textId="6E1B276A" w:rsidR="00783210" w:rsidRDefault="008339A9">
          <w:pPr>
            <w:pStyle w:val="TM1"/>
            <w:tabs>
              <w:tab w:val="left" w:pos="660"/>
              <w:tab w:val="right" w:leader="dot" w:pos="9062"/>
            </w:tabs>
            <w:rPr>
              <w:rFonts w:eastAsiaTheme="minorEastAsia"/>
              <w:noProof/>
              <w:lang w:eastAsia="fr-FR"/>
            </w:rPr>
          </w:pPr>
          <w:hyperlink w:anchor="_Toc17840323" w:history="1">
            <w:r w:rsidR="00783210" w:rsidRPr="003104CA">
              <w:rPr>
                <w:rStyle w:val="Lienhypertexte"/>
                <w:noProof/>
              </w:rPr>
              <w:t>IV.</w:t>
            </w:r>
            <w:r w:rsidR="00783210">
              <w:rPr>
                <w:rFonts w:eastAsiaTheme="minorEastAsia"/>
                <w:noProof/>
                <w:lang w:eastAsia="fr-FR"/>
              </w:rPr>
              <w:tab/>
            </w:r>
            <w:r w:rsidR="00783210" w:rsidRPr="003104CA">
              <w:rPr>
                <w:rStyle w:val="Lienhypertexte"/>
                <w:noProof/>
              </w:rPr>
              <w:t>Méthodologie</w:t>
            </w:r>
            <w:r w:rsidR="00783210">
              <w:rPr>
                <w:noProof/>
                <w:webHidden/>
              </w:rPr>
              <w:tab/>
            </w:r>
            <w:r w:rsidR="00783210">
              <w:rPr>
                <w:noProof/>
                <w:webHidden/>
              </w:rPr>
              <w:fldChar w:fldCharType="begin"/>
            </w:r>
            <w:r w:rsidR="00783210">
              <w:rPr>
                <w:noProof/>
                <w:webHidden/>
              </w:rPr>
              <w:instrText xml:space="preserve"> PAGEREF _Toc17840323 \h </w:instrText>
            </w:r>
            <w:r w:rsidR="00783210">
              <w:rPr>
                <w:noProof/>
                <w:webHidden/>
              </w:rPr>
            </w:r>
            <w:r w:rsidR="00783210">
              <w:rPr>
                <w:noProof/>
                <w:webHidden/>
              </w:rPr>
              <w:fldChar w:fldCharType="separate"/>
            </w:r>
            <w:r w:rsidR="00783210">
              <w:rPr>
                <w:noProof/>
                <w:webHidden/>
              </w:rPr>
              <w:t>13</w:t>
            </w:r>
            <w:r w:rsidR="00783210">
              <w:rPr>
                <w:noProof/>
                <w:webHidden/>
              </w:rPr>
              <w:fldChar w:fldCharType="end"/>
            </w:r>
          </w:hyperlink>
        </w:p>
        <w:p w14:paraId="7EC5121A" w14:textId="77ED092D" w:rsidR="00783210" w:rsidRDefault="008339A9">
          <w:pPr>
            <w:pStyle w:val="TM2"/>
            <w:tabs>
              <w:tab w:val="left" w:pos="660"/>
              <w:tab w:val="right" w:leader="dot" w:pos="9062"/>
            </w:tabs>
            <w:rPr>
              <w:rFonts w:eastAsiaTheme="minorEastAsia"/>
              <w:noProof/>
              <w:lang w:eastAsia="fr-FR"/>
            </w:rPr>
          </w:pPr>
          <w:hyperlink w:anchor="_Toc17840324" w:history="1">
            <w:r w:rsidR="00783210" w:rsidRPr="003104CA">
              <w:rPr>
                <w:rStyle w:val="Lienhypertexte"/>
                <w:noProof/>
              </w:rPr>
              <w:t>1.</w:t>
            </w:r>
            <w:r w:rsidR="00783210">
              <w:rPr>
                <w:rFonts w:eastAsiaTheme="minorEastAsia"/>
                <w:noProof/>
                <w:lang w:eastAsia="fr-FR"/>
              </w:rPr>
              <w:tab/>
            </w:r>
            <w:r w:rsidR="00783210" w:rsidRPr="003104CA">
              <w:rPr>
                <w:rStyle w:val="Lienhypertexte"/>
                <w:noProof/>
                <w:lang w:eastAsia="fr-FR"/>
              </w:rPr>
              <w:t>Plan de sondage</w:t>
            </w:r>
            <w:r w:rsidR="00783210">
              <w:rPr>
                <w:noProof/>
                <w:webHidden/>
              </w:rPr>
              <w:tab/>
            </w:r>
            <w:r w:rsidR="00783210">
              <w:rPr>
                <w:noProof/>
                <w:webHidden/>
              </w:rPr>
              <w:fldChar w:fldCharType="begin"/>
            </w:r>
            <w:r w:rsidR="00783210">
              <w:rPr>
                <w:noProof/>
                <w:webHidden/>
              </w:rPr>
              <w:instrText xml:space="preserve"> PAGEREF _Toc17840324 \h </w:instrText>
            </w:r>
            <w:r w:rsidR="00783210">
              <w:rPr>
                <w:noProof/>
                <w:webHidden/>
              </w:rPr>
            </w:r>
            <w:r w:rsidR="00783210">
              <w:rPr>
                <w:noProof/>
                <w:webHidden/>
              </w:rPr>
              <w:fldChar w:fldCharType="separate"/>
            </w:r>
            <w:r w:rsidR="00783210">
              <w:rPr>
                <w:noProof/>
                <w:webHidden/>
              </w:rPr>
              <w:t>13</w:t>
            </w:r>
            <w:r w:rsidR="00783210">
              <w:rPr>
                <w:noProof/>
                <w:webHidden/>
              </w:rPr>
              <w:fldChar w:fldCharType="end"/>
            </w:r>
          </w:hyperlink>
        </w:p>
        <w:p w14:paraId="69546EE5" w14:textId="1DF57958" w:rsidR="00783210" w:rsidRDefault="008339A9">
          <w:pPr>
            <w:pStyle w:val="TM2"/>
            <w:tabs>
              <w:tab w:val="left" w:pos="660"/>
              <w:tab w:val="right" w:leader="dot" w:pos="9062"/>
            </w:tabs>
            <w:rPr>
              <w:rFonts w:eastAsiaTheme="minorEastAsia"/>
              <w:noProof/>
              <w:lang w:eastAsia="fr-FR"/>
            </w:rPr>
          </w:pPr>
          <w:hyperlink w:anchor="_Toc17840325" w:history="1">
            <w:r w:rsidR="00783210" w:rsidRPr="003104CA">
              <w:rPr>
                <w:rStyle w:val="Lienhypertexte"/>
                <w:noProof/>
              </w:rPr>
              <w:t>2.</w:t>
            </w:r>
            <w:r w:rsidR="00783210">
              <w:rPr>
                <w:rFonts w:eastAsiaTheme="minorEastAsia"/>
                <w:noProof/>
                <w:lang w:eastAsia="fr-FR"/>
              </w:rPr>
              <w:tab/>
            </w:r>
            <w:r w:rsidR="00783210" w:rsidRPr="003104CA">
              <w:rPr>
                <w:rStyle w:val="Lienhypertexte"/>
                <w:noProof/>
              </w:rPr>
              <w:t>Procédure de recrutement des participants aux enquêtes et interviews</w:t>
            </w:r>
            <w:r w:rsidR="00783210">
              <w:rPr>
                <w:noProof/>
                <w:webHidden/>
              </w:rPr>
              <w:tab/>
            </w:r>
            <w:r w:rsidR="00783210">
              <w:rPr>
                <w:noProof/>
                <w:webHidden/>
              </w:rPr>
              <w:fldChar w:fldCharType="begin"/>
            </w:r>
            <w:r w:rsidR="00783210">
              <w:rPr>
                <w:noProof/>
                <w:webHidden/>
              </w:rPr>
              <w:instrText xml:space="preserve"> PAGEREF _Toc17840325 \h </w:instrText>
            </w:r>
            <w:r w:rsidR="00783210">
              <w:rPr>
                <w:noProof/>
                <w:webHidden/>
              </w:rPr>
            </w:r>
            <w:r w:rsidR="00783210">
              <w:rPr>
                <w:noProof/>
                <w:webHidden/>
              </w:rPr>
              <w:fldChar w:fldCharType="separate"/>
            </w:r>
            <w:r w:rsidR="00783210">
              <w:rPr>
                <w:noProof/>
                <w:webHidden/>
              </w:rPr>
              <w:t>15</w:t>
            </w:r>
            <w:r w:rsidR="00783210">
              <w:rPr>
                <w:noProof/>
                <w:webHidden/>
              </w:rPr>
              <w:fldChar w:fldCharType="end"/>
            </w:r>
          </w:hyperlink>
        </w:p>
        <w:p w14:paraId="672F4658" w14:textId="4B8BF759" w:rsidR="00783210" w:rsidRDefault="008339A9">
          <w:pPr>
            <w:pStyle w:val="TM3"/>
            <w:tabs>
              <w:tab w:val="left" w:pos="880"/>
              <w:tab w:val="right" w:leader="dot" w:pos="9062"/>
            </w:tabs>
            <w:rPr>
              <w:rFonts w:eastAsiaTheme="minorEastAsia"/>
              <w:noProof/>
              <w:lang w:eastAsia="fr-FR"/>
            </w:rPr>
          </w:pPr>
          <w:hyperlink w:anchor="_Toc17840326" w:history="1">
            <w:r w:rsidR="00783210" w:rsidRPr="003104CA">
              <w:rPr>
                <w:rStyle w:val="Lienhypertexte"/>
                <w:noProof/>
              </w:rPr>
              <w:t>a.</w:t>
            </w:r>
            <w:r w:rsidR="00783210">
              <w:rPr>
                <w:rFonts w:eastAsiaTheme="minorEastAsia"/>
                <w:noProof/>
                <w:lang w:eastAsia="fr-FR"/>
              </w:rPr>
              <w:tab/>
            </w:r>
            <w:r w:rsidR="00783210" w:rsidRPr="003104CA">
              <w:rPr>
                <w:rStyle w:val="Lienhypertexte"/>
                <w:noProof/>
              </w:rPr>
              <w:t>Recrutement des participants à l’enquête</w:t>
            </w:r>
            <w:r w:rsidR="00783210">
              <w:rPr>
                <w:noProof/>
                <w:webHidden/>
              </w:rPr>
              <w:tab/>
            </w:r>
            <w:r w:rsidR="00783210">
              <w:rPr>
                <w:noProof/>
                <w:webHidden/>
              </w:rPr>
              <w:fldChar w:fldCharType="begin"/>
            </w:r>
            <w:r w:rsidR="00783210">
              <w:rPr>
                <w:noProof/>
                <w:webHidden/>
              </w:rPr>
              <w:instrText xml:space="preserve"> PAGEREF _Toc17840326 \h </w:instrText>
            </w:r>
            <w:r w:rsidR="00783210">
              <w:rPr>
                <w:noProof/>
                <w:webHidden/>
              </w:rPr>
            </w:r>
            <w:r w:rsidR="00783210">
              <w:rPr>
                <w:noProof/>
                <w:webHidden/>
              </w:rPr>
              <w:fldChar w:fldCharType="separate"/>
            </w:r>
            <w:r w:rsidR="00783210">
              <w:rPr>
                <w:noProof/>
                <w:webHidden/>
              </w:rPr>
              <w:t>15</w:t>
            </w:r>
            <w:r w:rsidR="00783210">
              <w:rPr>
                <w:noProof/>
                <w:webHidden/>
              </w:rPr>
              <w:fldChar w:fldCharType="end"/>
            </w:r>
          </w:hyperlink>
        </w:p>
        <w:p w14:paraId="1BAA812D" w14:textId="4394CD45" w:rsidR="00783210" w:rsidRDefault="008339A9">
          <w:pPr>
            <w:pStyle w:val="TM3"/>
            <w:tabs>
              <w:tab w:val="left" w:pos="880"/>
              <w:tab w:val="right" w:leader="dot" w:pos="9062"/>
            </w:tabs>
            <w:rPr>
              <w:rFonts w:eastAsiaTheme="minorEastAsia"/>
              <w:noProof/>
              <w:lang w:eastAsia="fr-FR"/>
            </w:rPr>
          </w:pPr>
          <w:hyperlink w:anchor="_Toc17840327" w:history="1">
            <w:r w:rsidR="00783210" w:rsidRPr="003104CA">
              <w:rPr>
                <w:rStyle w:val="Lienhypertexte"/>
                <w:noProof/>
              </w:rPr>
              <w:t>b.</w:t>
            </w:r>
            <w:r w:rsidR="00783210">
              <w:rPr>
                <w:rFonts w:eastAsiaTheme="minorEastAsia"/>
                <w:noProof/>
                <w:lang w:eastAsia="fr-FR"/>
              </w:rPr>
              <w:tab/>
            </w:r>
            <w:r w:rsidR="00783210" w:rsidRPr="003104CA">
              <w:rPr>
                <w:rStyle w:val="Lienhypertexte"/>
                <w:noProof/>
              </w:rPr>
              <w:t>Recrutement des participants aux interviews</w:t>
            </w:r>
            <w:r w:rsidR="00783210">
              <w:rPr>
                <w:noProof/>
                <w:webHidden/>
              </w:rPr>
              <w:tab/>
            </w:r>
            <w:r w:rsidR="00783210">
              <w:rPr>
                <w:noProof/>
                <w:webHidden/>
              </w:rPr>
              <w:fldChar w:fldCharType="begin"/>
            </w:r>
            <w:r w:rsidR="00783210">
              <w:rPr>
                <w:noProof/>
                <w:webHidden/>
              </w:rPr>
              <w:instrText xml:space="preserve"> PAGEREF _Toc17840327 \h </w:instrText>
            </w:r>
            <w:r w:rsidR="00783210">
              <w:rPr>
                <w:noProof/>
                <w:webHidden/>
              </w:rPr>
            </w:r>
            <w:r w:rsidR="00783210">
              <w:rPr>
                <w:noProof/>
                <w:webHidden/>
              </w:rPr>
              <w:fldChar w:fldCharType="separate"/>
            </w:r>
            <w:r w:rsidR="00783210">
              <w:rPr>
                <w:noProof/>
                <w:webHidden/>
              </w:rPr>
              <w:t>15</w:t>
            </w:r>
            <w:r w:rsidR="00783210">
              <w:rPr>
                <w:noProof/>
                <w:webHidden/>
              </w:rPr>
              <w:fldChar w:fldCharType="end"/>
            </w:r>
          </w:hyperlink>
        </w:p>
        <w:p w14:paraId="772A61B4" w14:textId="6826EEAF" w:rsidR="00783210" w:rsidRDefault="008339A9">
          <w:pPr>
            <w:pStyle w:val="TM2"/>
            <w:tabs>
              <w:tab w:val="left" w:pos="660"/>
              <w:tab w:val="right" w:leader="dot" w:pos="9062"/>
            </w:tabs>
            <w:rPr>
              <w:rFonts w:eastAsiaTheme="minorEastAsia"/>
              <w:noProof/>
              <w:lang w:eastAsia="fr-FR"/>
            </w:rPr>
          </w:pPr>
          <w:hyperlink w:anchor="_Toc17840328" w:history="1">
            <w:r w:rsidR="00783210" w:rsidRPr="003104CA">
              <w:rPr>
                <w:rStyle w:val="Lienhypertexte"/>
                <w:noProof/>
              </w:rPr>
              <w:t>3.</w:t>
            </w:r>
            <w:r w:rsidR="00783210">
              <w:rPr>
                <w:rFonts w:eastAsiaTheme="minorEastAsia"/>
                <w:noProof/>
                <w:lang w:eastAsia="fr-FR"/>
              </w:rPr>
              <w:tab/>
            </w:r>
            <w:r w:rsidR="00783210" w:rsidRPr="003104CA">
              <w:rPr>
                <w:rStyle w:val="Lienhypertexte"/>
                <w:noProof/>
              </w:rPr>
              <w:t>Mise en œuvre de l’évaluation contingente du consentement à payer</w:t>
            </w:r>
            <w:r w:rsidR="00783210">
              <w:rPr>
                <w:noProof/>
                <w:webHidden/>
              </w:rPr>
              <w:tab/>
            </w:r>
            <w:r w:rsidR="00783210">
              <w:rPr>
                <w:noProof/>
                <w:webHidden/>
              </w:rPr>
              <w:fldChar w:fldCharType="begin"/>
            </w:r>
            <w:r w:rsidR="00783210">
              <w:rPr>
                <w:noProof/>
                <w:webHidden/>
              </w:rPr>
              <w:instrText xml:space="preserve"> PAGEREF _Toc17840328 \h </w:instrText>
            </w:r>
            <w:r w:rsidR="00783210">
              <w:rPr>
                <w:noProof/>
                <w:webHidden/>
              </w:rPr>
            </w:r>
            <w:r w:rsidR="00783210">
              <w:rPr>
                <w:noProof/>
                <w:webHidden/>
              </w:rPr>
              <w:fldChar w:fldCharType="separate"/>
            </w:r>
            <w:r w:rsidR="00783210">
              <w:rPr>
                <w:noProof/>
                <w:webHidden/>
              </w:rPr>
              <w:t>16</w:t>
            </w:r>
            <w:r w:rsidR="00783210">
              <w:rPr>
                <w:noProof/>
                <w:webHidden/>
              </w:rPr>
              <w:fldChar w:fldCharType="end"/>
            </w:r>
          </w:hyperlink>
        </w:p>
        <w:p w14:paraId="2FF325BC" w14:textId="15864563" w:rsidR="00783210" w:rsidRDefault="008339A9">
          <w:pPr>
            <w:pStyle w:val="TM2"/>
            <w:tabs>
              <w:tab w:val="left" w:pos="660"/>
              <w:tab w:val="right" w:leader="dot" w:pos="9062"/>
            </w:tabs>
            <w:rPr>
              <w:rFonts w:eastAsiaTheme="minorEastAsia"/>
              <w:noProof/>
              <w:lang w:eastAsia="fr-FR"/>
            </w:rPr>
          </w:pPr>
          <w:hyperlink w:anchor="_Toc17840329" w:history="1">
            <w:r w:rsidR="00783210" w:rsidRPr="003104CA">
              <w:rPr>
                <w:rStyle w:val="Lienhypertexte"/>
                <w:noProof/>
              </w:rPr>
              <w:t>4.</w:t>
            </w:r>
            <w:r w:rsidR="00783210">
              <w:rPr>
                <w:rFonts w:eastAsiaTheme="minorEastAsia"/>
                <w:noProof/>
                <w:lang w:eastAsia="fr-FR"/>
              </w:rPr>
              <w:tab/>
            </w:r>
            <w:r w:rsidR="00783210" w:rsidRPr="003104CA">
              <w:rPr>
                <w:rStyle w:val="Lienhypertexte"/>
                <w:noProof/>
              </w:rPr>
              <w:t>Collecte des données</w:t>
            </w:r>
            <w:r w:rsidR="00783210">
              <w:rPr>
                <w:noProof/>
                <w:webHidden/>
              </w:rPr>
              <w:tab/>
            </w:r>
            <w:r w:rsidR="00783210">
              <w:rPr>
                <w:noProof/>
                <w:webHidden/>
              </w:rPr>
              <w:fldChar w:fldCharType="begin"/>
            </w:r>
            <w:r w:rsidR="00783210">
              <w:rPr>
                <w:noProof/>
                <w:webHidden/>
              </w:rPr>
              <w:instrText xml:space="preserve"> PAGEREF _Toc17840329 \h </w:instrText>
            </w:r>
            <w:r w:rsidR="00783210">
              <w:rPr>
                <w:noProof/>
                <w:webHidden/>
              </w:rPr>
            </w:r>
            <w:r w:rsidR="00783210">
              <w:rPr>
                <w:noProof/>
                <w:webHidden/>
              </w:rPr>
              <w:fldChar w:fldCharType="separate"/>
            </w:r>
            <w:r w:rsidR="00783210">
              <w:rPr>
                <w:noProof/>
                <w:webHidden/>
              </w:rPr>
              <w:t>17</w:t>
            </w:r>
            <w:r w:rsidR="00783210">
              <w:rPr>
                <w:noProof/>
                <w:webHidden/>
              </w:rPr>
              <w:fldChar w:fldCharType="end"/>
            </w:r>
          </w:hyperlink>
        </w:p>
        <w:p w14:paraId="1DFB7424" w14:textId="739C8EEC" w:rsidR="00783210" w:rsidRDefault="008339A9">
          <w:pPr>
            <w:pStyle w:val="TM3"/>
            <w:tabs>
              <w:tab w:val="left" w:pos="880"/>
              <w:tab w:val="right" w:leader="dot" w:pos="9062"/>
            </w:tabs>
            <w:rPr>
              <w:rFonts w:eastAsiaTheme="minorEastAsia"/>
              <w:noProof/>
              <w:lang w:eastAsia="fr-FR"/>
            </w:rPr>
          </w:pPr>
          <w:hyperlink w:anchor="_Toc17840330" w:history="1">
            <w:r w:rsidR="00783210" w:rsidRPr="003104CA">
              <w:rPr>
                <w:rStyle w:val="Lienhypertexte"/>
                <w:noProof/>
              </w:rPr>
              <w:t>a.</w:t>
            </w:r>
            <w:r w:rsidR="00783210">
              <w:rPr>
                <w:rFonts w:eastAsiaTheme="minorEastAsia"/>
                <w:noProof/>
                <w:lang w:eastAsia="fr-FR"/>
              </w:rPr>
              <w:tab/>
            </w:r>
            <w:r w:rsidR="00783210" w:rsidRPr="003104CA">
              <w:rPr>
                <w:rStyle w:val="Lienhypertexte"/>
                <w:noProof/>
              </w:rPr>
              <w:t>Formation et déploiement des enquêteurs</w:t>
            </w:r>
            <w:r w:rsidR="00783210">
              <w:rPr>
                <w:noProof/>
                <w:webHidden/>
              </w:rPr>
              <w:tab/>
            </w:r>
            <w:r w:rsidR="00783210">
              <w:rPr>
                <w:noProof/>
                <w:webHidden/>
              </w:rPr>
              <w:fldChar w:fldCharType="begin"/>
            </w:r>
            <w:r w:rsidR="00783210">
              <w:rPr>
                <w:noProof/>
                <w:webHidden/>
              </w:rPr>
              <w:instrText xml:space="preserve"> PAGEREF _Toc17840330 \h </w:instrText>
            </w:r>
            <w:r w:rsidR="00783210">
              <w:rPr>
                <w:noProof/>
                <w:webHidden/>
              </w:rPr>
            </w:r>
            <w:r w:rsidR="00783210">
              <w:rPr>
                <w:noProof/>
                <w:webHidden/>
              </w:rPr>
              <w:fldChar w:fldCharType="separate"/>
            </w:r>
            <w:r w:rsidR="00783210">
              <w:rPr>
                <w:noProof/>
                <w:webHidden/>
              </w:rPr>
              <w:t>17</w:t>
            </w:r>
            <w:r w:rsidR="00783210">
              <w:rPr>
                <w:noProof/>
                <w:webHidden/>
              </w:rPr>
              <w:fldChar w:fldCharType="end"/>
            </w:r>
          </w:hyperlink>
        </w:p>
        <w:p w14:paraId="52A3508F" w14:textId="1ADC5377" w:rsidR="00783210" w:rsidRDefault="008339A9">
          <w:pPr>
            <w:pStyle w:val="TM3"/>
            <w:tabs>
              <w:tab w:val="left" w:pos="880"/>
              <w:tab w:val="right" w:leader="dot" w:pos="9062"/>
            </w:tabs>
            <w:rPr>
              <w:rFonts w:eastAsiaTheme="minorEastAsia"/>
              <w:noProof/>
              <w:lang w:eastAsia="fr-FR"/>
            </w:rPr>
          </w:pPr>
          <w:hyperlink w:anchor="_Toc17840331" w:history="1">
            <w:r w:rsidR="00783210" w:rsidRPr="003104CA">
              <w:rPr>
                <w:rStyle w:val="Lienhypertexte"/>
                <w:noProof/>
              </w:rPr>
              <w:t>b.</w:t>
            </w:r>
            <w:r w:rsidR="00783210">
              <w:rPr>
                <w:rFonts w:eastAsiaTheme="minorEastAsia"/>
                <w:noProof/>
                <w:lang w:eastAsia="fr-FR"/>
              </w:rPr>
              <w:tab/>
            </w:r>
            <w:r w:rsidR="00783210" w:rsidRPr="003104CA">
              <w:rPr>
                <w:rStyle w:val="Lienhypertexte"/>
                <w:noProof/>
              </w:rPr>
              <w:t>Coordination des enquêtes et contrôle des données</w:t>
            </w:r>
            <w:r w:rsidR="00783210">
              <w:rPr>
                <w:noProof/>
                <w:webHidden/>
              </w:rPr>
              <w:tab/>
            </w:r>
            <w:r w:rsidR="00783210">
              <w:rPr>
                <w:noProof/>
                <w:webHidden/>
              </w:rPr>
              <w:fldChar w:fldCharType="begin"/>
            </w:r>
            <w:r w:rsidR="00783210">
              <w:rPr>
                <w:noProof/>
                <w:webHidden/>
              </w:rPr>
              <w:instrText xml:space="preserve"> PAGEREF _Toc17840331 \h </w:instrText>
            </w:r>
            <w:r w:rsidR="00783210">
              <w:rPr>
                <w:noProof/>
                <w:webHidden/>
              </w:rPr>
            </w:r>
            <w:r w:rsidR="00783210">
              <w:rPr>
                <w:noProof/>
                <w:webHidden/>
              </w:rPr>
              <w:fldChar w:fldCharType="separate"/>
            </w:r>
            <w:r w:rsidR="00783210">
              <w:rPr>
                <w:noProof/>
                <w:webHidden/>
              </w:rPr>
              <w:t>17</w:t>
            </w:r>
            <w:r w:rsidR="00783210">
              <w:rPr>
                <w:noProof/>
                <w:webHidden/>
              </w:rPr>
              <w:fldChar w:fldCharType="end"/>
            </w:r>
          </w:hyperlink>
        </w:p>
        <w:p w14:paraId="5E5662BA" w14:textId="3931939F" w:rsidR="00783210" w:rsidRDefault="008339A9">
          <w:pPr>
            <w:pStyle w:val="TM3"/>
            <w:tabs>
              <w:tab w:val="left" w:pos="880"/>
              <w:tab w:val="right" w:leader="dot" w:pos="9062"/>
            </w:tabs>
            <w:rPr>
              <w:rFonts w:eastAsiaTheme="minorEastAsia"/>
              <w:noProof/>
              <w:lang w:eastAsia="fr-FR"/>
            </w:rPr>
          </w:pPr>
          <w:hyperlink w:anchor="_Toc17840332" w:history="1">
            <w:r w:rsidR="00783210" w:rsidRPr="003104CA">
              <w:rPr>
                <w:rStyle w:val="Lienhypertexte"/>
                <w:noProof/>
              </w:rPr>
              <w:t>c.</w:t>
            </w:r>
            <w:r w:rsidR="00783210">
              <w:rPr>
                <w:rFonts w:eastAsiaTheme="minorEastAsia"/>
                <w:noProof/>
                <w:lang w:eastAsia="fr-FR"/>
              </w:rPr>
              <w:tab/>
            </w:r>
            <w:r w:rsidR="00783210" w:rsidRPr="003104CA">
              <w:rPr>
                <w:rStyle w:val="Lienhypertexte"/>
                <w:noProof/>
              </w:rPr>
              <w:t>Présentation du questionnaire et bilan de la collecte de données</w:t>
            </w:r>
            <w:r w:rsidR="00783210">
              <w:rPr>
                <w:noProof/>
                <w:webHidden/>
              </w:rPr>
              <w:tab/>
            </w:r>
            <w:r w:rsidR="00783210">
              <w:rPr>
                <w:noProof/>
                <w:webHidden/>
              </w:rPr>
              <w:fldChar w:fldCharType="begin"/>
            </w:r>
            <w:r w:rsidR="00783210">
              <w:rPr>
                <w:noProof/>
                <w:webHidden/>
              </w:rPr>
              <w:instrText xml:space="preserve"> PAGEREF _Toc17840332 \h </w:instrText>
            </w:r>
            <w:r w:rsidR="00783210">
              <w:rPr>
                <w:noProof/>
                <w:webHidden/>
              </w:rPr>
            </w:r>
            <w:r w:rsidR="00783210">
              <w:rPr>
                <w:noProof/>
                <w:webHidden/>
              </w:rPr>
              <w:fldChar w:fldCharType="separate"/>
            </w:r>
            <w:r w:rsidR="00783210">
              <w:rPr>
                <w:noProof/>
                <w:webHidden/>
              </w:rPr>
              <w:t>18</w:t>
            </w:r>
            <w:r w:rsidR="00783210">
              <w:rPr>
                <w:noProof/>
                <w:webHidden/>
              </w:rPr>
              <w:fldChar w:fldCharType="end"/>
            </w:r>
          </w:hyperlink>
        </w:p>
        <w:p w14:paraId="33165F2D" w14:textId="20424EC4" w:rsidR="00783210" w:rsidRDefault="008339A9">
          <w:pPr>
            <w:pStyle w:val="TM1"/>
            <w:tabs>
              <w:tab w:val="left" w:pos="440"/>
              <w:tab w:val="right" w:leader="dot" w:pos="9062"/>
            </w:tabs>
            <w:rPr>
              <w:rFonts w:eastAsiaTheme="minorEastAsia"/>
              <w:noProof/>
              <w:lang w:eastAsia="fr-FR"/>
            </w:rPr>
          </w:pPr>
          <w:hyperlink w:anchor="_Toc17840333" w:history="1">
            <w:r w:rsidR="00783210" w:rsidRPr="003104CA">
              <w:rPr>
                <w:rStyle w:val="Lienhypertexte"/>
                <w:noProof/>
              </w:rPr>
              <w:t>V.</w:t>
            </w:r>
            <w:r w:rsidR="00783210">
              <w:rPr>
                <w:rFonts w:eastAsiaTheme="minorEastAsia"/>
                <w:noProof/>
                <w:lang w:eastAsia="fr-FR"/>
              </w:rPr>
              <w:tab/>
            </w:r>
            <w:r w:rsidR="00783210" w:rsidRPr="003104CA">
              <w:rPr>
                <w:rStyle w:val="Lienhypertexte"/>
                <w:noProof/>
              </w:rPr>
              <w:t>Résultats</w:t>
            </w:r>
            <w:r w:rsidR="00783210">
              <w:rPr>
                <w:noProof/>
                <w:webHidden/>
              </w:rPr>
              <w:tab/>
            </w:r>
            <w:r w:rsidR="00783210">
              <w:rPr>
                <w:noProof/>
                <w:webHidden/>
              </w:rPr>
              <w:fldChar w:fldCharType="begin"/>
            </w:r>
            <w:r w:rsidR="00783210">
              <w:rPr>
                <w:noProof/>
                <w:webHidden/>
              </w:rPr>
              <w:instrText xml:space="preserve"> PAGEREF _Toc17840333 \h </w:instrText>
            </w:r>
            <w:r w:rsidR="00783210">
              <w:rPr>
                <w:noProof/>
                <w:webHidden/>
              </w:rPr>
            </w:r>
            <w:r w:rsidR="00783210">
              <w:rPr>
                <w:noProof/>
                <w:webHidden/>
              </w:rPr>
              <w:fldChar w:fldCharType="separate"/>
            </w:r>
            <w:r w:rsidR="00783210">
              <w:rPr>
                <w:noProof/>
                <w:webHidden/>
              </w:rPr>
              <w:t>19</w:t>
            </w:r>
            <w:r w:rsidR="00783210">
              <w:rPr>
                <w:noProof/>
                <w:webHidden/>
              </w:rPr>
              <w:fldChar w:fldCharType="end"/>
            </w:r>
          </w:hyperlink>
        </w:p>
        <w:p w14:paraId="7C4E0082" w14:textId="58E30150" w:rsidR="00783210" w:rsidRDefault="008339A9">
          <w:pPr>
            <w:pStyle w:val="TM2"/>
            <w:tabs>
              <w:tab w:val="left" w:pos="660"/>
              <w:tab w:val="right" w:leader="dot" w:pos="9062"/>
            </w:tabs>
            <w:rPr>
              <w:rFonts w:eastAsiaTheme="minorEastAsia"/>
              <w:noProof/>
              <w:lang w:eastAsia="fr-FR"/>
            </w:rPr>
          </w:pPr>
          <w:hyperlink w:anchor="_Toc17840334" w:history="1">
            <w:r w:rsidR="00783210" w:rsidRPr="003104CA">
              <w:rPr>
                <w:rStyle w:val="Lienhypertexte"/>
                <w:noProof/>
              </w:rPr>
              <w:t>1.</w:t>
            </w:r>
            <w:r w:rsidR="00783210">
              <w:rPr>
                <w:rFonts w:eastAsiaTheme="minorEastAsia"/>
                <w:noProof/>
                <w:lang w:eastAsia="fr-FR"/>
              </w:rPr>
              <w:tab/>
            </w:r>
            <w:r w:rsidR="00783210" w:rsidRPr="003104CA">
              <w:rPr>
                <w:rStyle w:val="Lienhypertexte"/>
                <w:noProof/>
              </w:rPr>
              <w:t>Appréciation des conditions de vie</w:t>
            </w:r>
            <w:r w:rsidR="00783210">
              <w:rPr>
                <w:noProof/>
                <w:webHidden/>
              </w:rPr>
              <w:tab/>
            </w:r>
            <w:r w:rsidR="00783210">
              <w:rPr>
                <w:noProof/>
                <w:webHidden/>
              </w:rPr>
              <w:fldChar w:fldCharType="begin"/>
            </w:r>
            <w:r w:rsidR="00783210">
              <w:rPr>
                <w:noProof/>
                <w:webHidden/>
              </w:rPr>
              <w:instrText xml:space="preserve"> PAGEREF _Toc17840334 \h </w:instrText>
            </w:r>
            <w:r w:rsidR="00783210">
              <w:rPr>
                <w:noProof/>
                <w:webHidden/>
              </w:rPr>
            </w:r>
            <w:r w:rsidR="00783210">
              <w:rPr>
                <w:noProof/>
                <w:webHidden/>
              </w:rPr>
              <w:fldChar w:fldCharType="separate"/>
            </w:r>
            <w:r w:rsidR="00783210">
              <w:rPr>
                <w:noProof/>
                <w:webHidden/>
              </w:rPr>
              <w:t>19</w:t>
            </w:r>
            <w:r w:rsidR="00783210">
              <w:rPr>
                <w:noProof/>
                <w:webHidden/>
              </w:rPr>
              <w:fldChar w:fldCharType="end"/>
            </w:r>
          </w:hyperlink>
        </w:p>
        <w:p w14:paraId="57768026" w14:textId="4594D0A3" w:rsidR="00783210" w:rsidRDefault="008339A9">
          <w:pPr>
            <w:pStyle w:val="TM3"/>
            <w:tabs>
              <w:tab w:val="left" w:pos="880"/>
              <w:tab w:val="right" w:leader="dot" w:pos="9062"/>
            </w:tabs>
            <w:rPr>
              <w:rFonts w:eastAsiaTheme="minorEastAsia"/>
              <w:noProof/>
              <w:lang w:eastAsia="fr-FR"/>
            </w:rPr>
          </w:pPr>
          <w:hyperlink w:anchor="_Toc17840335" w:history="1">
            <w:r w:rsidR="00783210" w:rsidRPr="003104CA">
              <w:rPr>
                <w:rStyle w:val="Lienhypertexte"/>
                <w:noProof/>
              </w:rPr>
              <w:t>a.</w:t>
            </w:r>
            <w:r w:rsidR="00783210">
              <w:rPr>
                <w:rFonts w:eastAsiaTheme="minorEastAsia"/>
                <w:noProof/>
                <w:lang w:eastAsia="fr-FR"/>
              </w:rPr>
              <w:tab/>
            </w:r>
            <w:r w:rsidR="00783210" w:rsidRPr="003104CA">
              <w:rPr>
                <w:rStyle w:val="Lienhypertexte"/>
                <w:noProof/>
              </w:rPr>
              <w:t>Caractéristiques démographiques du ménage</w:t>
            </w:r>
            <w:r w:rsidR="00783210">
              <w:rPr>
                <w:noProof/>
                <w:webHidden/>
              </w:rPr>
              <w:tab/>
            </w:r>
            <w:r w:rsidR="00783210">
              <w:rPr>
                <w:noProof/>
                <w:webHidden/>
              </w:rPr>
              <w:fldChar w:fldCharType="begin"/>
            </w:r>
            <w:r w:rsidR="00783210">
              <w:rPr>
                <w:noProof/>
                <w:webHidden/>
              </w:rPr>
              <w:instrText xml:space="preserve"> PAGEREF _Toc17840335 \h </w:instrText>
            </w:r>
            <w:r w:rsidR="00783210">
              <w:rPr>
                <w:noProof/>
                <w:webHidden/>
              </w:rPr>
            </w:r>
            <w:r w:rsidR="00783210">
              <w:rPr>
                <w:noProof/>
                <w:webHidden/>
              </w:rPr>
              <w:fldChar w:fldCharType="separate"/>
            </w:r>
            <w:r w:rsidR="00783210">
              <w:rPr>
                <w:noProof/>
                <w:webHidden/>
              </w:rPr>
              <w:t>19</w:t>
            </w:r>
            <w:r w:rsidR="00783210">
              <w:rPr>
                <w:noProof/>
                <w:webHidden/>
              </w:rPr>
              <w:fldChar w:fldCharType="end"/>
            </w:r>
          </w:hyperlink>
        </w:p>
        <w:p w14:paraId="781F14A2" w14:textId="79240DD1" w:rsidR="00783210" w:rsidRDefault="008339A9">
          <w:pPr>
            <w:pStyle w:val="TM3"/>
            <w:tabs>
              <w:tab w:val="left" w:pos="880"/>
              <w:tab w:val="right" w:leader="dot" w:pos="9062"/>
            </w:tabs>
            <w:rPr>
              <w:rFonts w:eastAsiaTheme="minorEastAsia"/>
              <w:noProof/>
              <w:lang w:eastAsia="fr-FR"/>
            </w:rPr>
          </w:pPr>
          <w:hyperlink w:anchor="_Toc17840336" w:history="1">
            <w:r w:rsidR="00783210" w:rsidRPr="003104CA">
              <w:rPr>
                <w:rStyle w:val="Lienhypertexte"/>
                <w:noProof/>
              </w:rPr>
              <w:t>b.</w:t>
            </w:r>
            <w:r w:rsidR="00783210">
              <w:rPr>
                <w:rFonts w:eastAsiaTheme="minorEastAsia"/>
                <w:noProof/>
                <w:lang w:eastAsia="fr-FR"/>
              </w:rPr>
              <w:tab/>
            </w:r>
            <w:r w:rsidR="00783210" w:rsidRPr="003104CA">
              <w:rPr>
                <w:rStyle w:val="Lienhypertexte"/>
                <w:noProof/>
              </w:rPr>
              <w:t>Biens possédés par les ménages</w:t>
            </w:r>
            <w:r w:rsidR="00783210">
              <w:rPr>
                <w:noProof/>
                <w:webHidden/>
              </w:rPr>
              <w:tab/>
            </w:r>
            <w:r w:rsidR="00783210">
              <w:rPr>
                <w:noProof/>
                <w:webHidden/>
              </w:rPr>
              <w:fldChar w:fldCharType="begin"/>
            </w:r>
            <w:r w:rsidR="00783210">
              <w:rPr>
                <w:noProof/>
                <w:webHidden/>
              </w:rPr>
              <w:instrText xml:space="preserve"> PAGEREF _Toc17840336 \h </w:instrText>
            </w:r>
            <w:r w:rsidR="00783210">
              <w:rPr>
                <w:noProof/>
                <w:webHidden/>
              </w:rPr>
            </w:r>
            <w:r w:rsidR="00783210">
              <w:rPr>
                <w:noProof/>
                <w:webHidden/>
              </w:rPr>
              <w:fldChar w:fldCharType="separate"/>
            </w:r>
            <w:r w:rsidR="00783210">
              <w:rPr>
                <w:noProof/>
                <w:webHidden/>
              </w:rPr>
              <w:t>20</w:t>
            </w:r>
            <w:r w:rsidR="00783210">
              <w:rPr>
                <w:noProof/>
                <w:webHidden/>
              </w:rPr>
              <w:fldChar w:fldCharType="end"/>
            </w:r>
          </w:hyperlink>
        </w:p>
        <w:p w14:paraId="5B677B18" w14:textId="52985101" w:rsidR="00783210" w:rsidRDefault="008339A9">
          <w:pPr>
            <w:pStyle w:val="TM2"/>
            <w:tabs>
              <w:tab w:val="left" w:pos="660"/>
              <w:tab w:val="right" w:leader="dot" w:pos="9062"/>
            </w:tabs>
            <w:rPr>
              <w:rFonts w:eastAsiaTheme="minorEastAsia"/>
              <w:noProof/>
              <w:lang w:eastAsia="fr-FR"/>
            </w:rPr>
          </w:pPr>
          <w:hyperlink w:anchor="_Toc17840337" w:history="1">
            <w:r w:rsidR="00783210" w:rsidRPr="003104CA">
              <w:rPr>
                <w:rStyle w:val="Lienhypertexte"/>
                <w:noProof/>
              </w:rPr>
              <w:t>2.</w:t>
            </w:r>
            <w:r w:rsidR="00783210">
              <w:rPr>
                <w:rFonts w:eastAsiaTheme="minorEastAsia"/>
                <w:noProof/>
                <w:lang w:eastAsia="fr-FR"/>
              </w:rPr>
              <w:tab/>
            </w:r>
            <w:r w:rsidR="00783210" w:rsidRPr="003104CA">
              <w:rPr>
                <w:rStyle w:val="Lienhypertexte"/>
                <w:noProof/>
              </w:rPr>
              <w:t>Risques et stratégies d’adaptations</w:t>
            </w:r>
            <w:r w:rsidR="00783210">
              <w:rPr>
                <w:noProof/>
                <w:webHidden/>
              </w:rPr>
              <w:tab/>
            </w:r>
            <w:r w:rsidR="00783210">
              <w:rPr>
                <w:noProof/>
                <w:webHidden/>
              </w:rPr>
              <w:fldChar w:fldCharType="begin"/>
            </w:r>
            <w:r w:rsidR="00783210">
              <w:rPr>
                <w:noProof/>
                <w:webHidden/>
              </w:rPr>
              <w:instrText xml:space="preserve"> PAGEREF _Toc17840337 \h </w:instrText>
            </w:r>
            <w:r w:rsidR="00783210">
              <w:rPr>
                <w:noProof/>
                <w:webHidden/>
              </w:rPr>
            </w:r>
            <w:r w:rsidR="00783210">
              <w:rPr>
                <w:noProof/>
                <w:webHidden/>
              </w:rPr>
              <w:fldChar w:fldCharType="separate"/>
            </w:r>
            <w:r w:rsidR="00783210">
              <w:rPr>
                <w:noProof/>
                <w:webHidden/>
              </w:rPr>
              <w:t>22</w:t>
            </w:r>
            <w:r w:rsidR="00783210">
              <w:rPr>
                <w:noProof/>
                <w:webHidden/>
              </w:rPr>
              <w:fldChar w:fldCharType="end"/>
            </w:r>
          </w:hyperlink>
        </w:p>
        <w:p w14:paraId="2BEA2575" w14:textId="45A54A37" w:rsidR="00783210" w:rsidRDefault="008339A9">
          <w:pPr>
            <w:pStyle w:val="TM2"/>
            <w:tabs>
              <w:tab w:val="left" w:pos="660"/>
              <w:tab w:val="right" w:leader="dot" w:pos="9062"/>
            </w:tabs>
            <w:rPr>
              <w:rFonts w:eastAsiaTheme="minorEastAsia"/>
              <w:noProof/>
              <w:lang w:eastAsia="fr-FR"/>
            </w:rPr>
          </w:pPr>
          <w:hyperlink w:anchor="_Toc17840338" w:history="1">
            <w:r w:rsidR="00783210" w:rsidRPr="003104CA">
              <w:rPr>
                <w:rStyle w:val="Lienhypertexte"/>
                <w:noProof/>
              </w:rPr>
              <w:t>3.</w:t>
            </w:r>
            <w:r w:rsidR="00783210">
              <w:rPr>
                <w:rFonts w:eastAsiaTheme="minorEastAsia"/>
                <w:noProof/>
                <w:lang w:eastAsia="fr-FR"/>
              </w:rPr>
              <w:tab/>
            </w:r>
            <w:r w:rsidR="00783210" w:rsidRPr="003104CA">
              <w:rPr>
                <w:rStyle w:val="Lienhypertexte"/>
                <w:noProof/>
              </w:rPr>
              <w:t>Investissement et revenu tiré de l’élevage</w:t>
            </w:r>
            <w:r w:rsidR="00783210">
              <w:rPr>
                <w:noProof/>
                <w:webHidden/>
              </w:rPr>
              <w:tab/>
            </w:r>
            <w:r w:rsidR="00783210">
              <w:rPr>
                <w:noProof/>
                <w:webHidden/>
              </w:rPr>
              <w:fldChar w:fldCharType="begin"/>
            </w:r>
            <w:r w:rsidR="00783210">
              <w:rPr>
                <w:noProof/>
                <w:webHidden/>
              </w:rPr>
              <w:instrText xml:space="preserve"> PAGEREF _Toc17840338 \h </w:instrText>
            </w:r>
            <w:r w:rsidR="00783210">
              <w:rPr>
                <w:noProof/>
                <w:webHidden/>
              </w:rPr>
            </w:r>
            <w:r w:rsidR="00783210">
              <w:rPr>
                <w:noProof/>
                <w:webHidden/>
              </w:rPr>
              <w:fldChar w:fldCharType="separate"/>
            </w:r>
            <w:r w:rsidR="00783210">
              <w:rPr>
                <w:noProof/>
                <w:webHidden/>
              </w:rPr>
              <w:t>24</w:t>
            </w:r>
            <w:r w:rsidR="00783210">
              <w:rPr>
                <w:noProof/>
                <w:webHidden/>
              </w:rPr>
              <w:fldChar w:fldCharType="end"/>
            </w:r>
          </w:hyperlink>
        </w:p>
        <w:p w14:paraId="50ABB5E5" w14:textId="64B083B5" w:rsidR="00783210" w:rsidRDefault="008339A9">
          <w:pPr>
            <w:pStyle w:val="TM3"/>
            <w:tabs>
              <w:tab w:val="left" w:pos="880"/>
              <w:tab w:val="right" w:leader="dot" w:pos="9062"/>
            </w:tabs>
            <w:rPr>
              <w:rFonts w:eastAsiaTheme="minorEastAsia"/>
              <w:noProof/>
              <w:lang w:eastAsia="fr-FR"/>
            </w:rPr>
          </w:pPr>
          <w:hyperlink w:anchor="_Toc17840339" w:history="1">
            <w:r w:rsidR="00783210" w:rsidRPr="003104CA">
              <w:rPr>
                <w:rStyle w:val="Lienhypertexte"/>
                <w:noProof/>
              </w:rPr>
              <w:t>a.</w:t>
            </w:r>
            <w:r w:rsidR="00783210">
              <w:rPr>
                <w:rFonts w:eastAsiaTheme="minorEastAsia"/>
                <w:noProof/>
                <w:lang w:eastAsia="fr-FR"/>
              </w:rPr>
              <w:tab/>
            </w:r>
            <w:r w:rsidR="00783210" w:rsidRPr="003104CA">
              <w:rPr>
                <w:rStyle w:val="Lienhypertexte"/>
                <w:noProof/>
              </w:rPr>
              <w:t>Taille du cheptel</w:t>
            </w:r>
            <w:r w:rsidR="00783210">
              <w:rPr>
                <w:noProof/>
                <w:webHidden/>
              </w:rPr>
              <w:tab/>
            </w:r>
            <w:r w:rsidR="00783210">
              <w:rPr>
                <w:noProof/>
                <w:webHidden/>
              </w:rPr>
              <w:fldChar w:fldCharType="begin"/>
            </w:r>
            <w:r w:rsidR="00783210">
              <w:rPr>
                <w:noProof/>
                <w:webHidden/>
              </w:rPr>
              <w:instrText xml:space="preserve"> PAGEREF _Toc17840339 \h </w:instrText>
            </w:r>
            <w:r w:rsidR="00783210">
              <w:rPr>
                <w:noProof/>
                <w:webHidden/>
              </w:rPr>
            </w:r>
            <w:r w:rsidR="00783210">
              <w:rPr>
                <w:noProof/>
                <w:webHidden/>
              </w:rPr>
              <w:fldChar w:fldCharType="separate"/>
            </w:r>
            <w:r w:rsidR="00783210">
              <w:rPr>
                <w:noProof/>
                <w:webHidden/>
              </w:rPr>
              <w:t>24</w:t>
            </w:r>
            <w:r w:rsidR="00783210">
              <w:rPr>
                <w:noProof/>
                <w:webHidden/>
              </w:rPr>
              <w:fldChar w:fldCharType="end"/>
            </w:r>
          </w:hyperlink>
        </w:p>
        <w:p w14:paraId="666DFB77" w14:textId="7E753B3B" w:rsidR="00783210" w:rsidRDefault="008339A9">
          <w:pPr>
            <w:pStyle w:val="TM3"/>
            <w:tabs>
              <w:tab w:val="left" w:pos="880"/>
              <w:tab w:val="right" w:leader="dot" w:pos="9062"/>
            </w:tabs>
            <w:rPr>
              <w:rFonts w:eastAsiaTheme="minorEastAsia"/>
              <w:noProof/>
              <w:lang w:eastAsia="fr-FR"/>
            </w:rPr>
          </w:pPr>
          <w:hyperlink w:anchor="_Toc17840340" w:history="1">
            <w:r w:rsidR="00783210" w:rsidRPr="003104CA">
              <w:rPr>
                <w:rStyle w:val="Lienhypertexte"/>
                <w:noProof/>
              </w:rPr>
              <w:t>b.</w:t>
            </w:r>
            <w:r w:rsidR="00783210">
              <w:rPr>
                <w:rFonts w:eastAsiaTheme="minorEastAsia"/>
                <w:noProof/>
                <w:lang w:eastAsia="fr-FR"/>
              </w:rPr>
              <w:tab/>
            </w:r>
            <w:r w:rsidR="00783210" w:rsidRPr="003104CA">
              <w:rPr>
                <w:rStyle w:val="Lienhypertexte"/>
                <w:noProof/>
              </w:rPr>
              <w:t>Investissements</w:t>
            </w:r>
            <w:r w:rsidR="00783210">
              <w:rPr>
                <w:noProof/>
                <w:webHidden/>
              </w:rPr>
              <w:tab/>
            </w:r>
            <w:r w:rsidR="00783210">
              <w:rPr>
                <w:noProof/>
                <w:webHidden/>
              </w:rPr>
              <w:fldChar w:fldCharType="begin"/>
            </w:r>
            <w:r w:rsidR="00783210">
              <w:rPr>
                <w:noProof/>
                <w:webHidden/>
              </w:rPr>
              <w:instrText xml:space="preserve"> PAGEREF _Toc17840340 \h </w:instrText>
            </w:r>
            <w:r w:rsidR="00783210">
              <w:rPr>
                <w:noProof/>
                <w:webHidden/>
              </w:rPr>
            </w:r>
            <w:r w:rsidR="00783210">
              <w:rPr>
                <w:noProof/>
                <w:webHidden/>
              </w:rPr>
              <w:fldChar w:fldCharType="separate"/>
            </w:r>
            <w:r w:rsidR="00783210">
              <w:rPr>
                <w:noProof/>
                <w:webHidden/>
              </w:rPr>
              <w:t>25</w:t>
            </w:r>
            <w:r w:rsidR="00783210">
              <w:rPr>
                <w:noProof/>
                <w:webHidden/>
              </w:rPr>
              <w:fldChar w:fldCharType="end"/>
            </w:r>
          </w:hyperlink>
        </w:p>
        <w:p w14:paraId="2454E5F0" w14:textId="3D696588" w:rsidR="00783210" w:rsidRDefault="008339A9">
          <w:pPr>
            <w:pStyle w:val="TM3"/>
            <w:tabs>
              <w:tab w:val="left" w:pos="880"/>
              <w:tab w:val="right" w:leader="dot" w:pos="9062"/>
            </w:tabs>
            <w:rPr>
              <w:rFonts w:eastAsiaTheme="minorEastAsia"/>
              <w:noProof/>
              <w:lang w:eastAsia="fr-FR"/>
            </w:rPr>
          </w:pPr>
          <w:hyperlink w:anchor="_Toc17840341" w:history="1">
            <w:r w:rsidR="00783210" w:rsidRPr="003104CA">
              <w:rPr>
                <w:rStyle w:val="Lienhypertexte"/>
                <w:noProof/>
              </w:rPr>
              <w:t>c.</w:t>
            </w:r>
            <w:r w:rsidR="00783210">
              <w:rPr>
                <w:rFonts w:eastAsiaTheme="minorEastAsia"/>
                <w:noProof/>
                <w:lang w:eastAsia="fr-FR"/>
              </w:rPr>
              <w:tab/>
            </w:r>
            <w:r w:rsidR="00783210" w:rsidRPr="003104CA">
              <w:rPr>
                <w:rStyle w:val="Lienhypertexte"/>
                <w:noProof/>
              </w:rPr>
              <w:t>Revenus</w:t>
            </w:r>
            <w:r w:rsidR="00783210">
              <w:rPr>
                <w:noProof/>
                <w:webHidden/>
              </w:rPr>
              <w:tab/>
            </w:r>
            <w:r w:rsidR="00783210">
              <w:rPr>
                <w:noProof/>
                <w:webHidden/>
              </w:rPr>
              <w:fldChar w:fldCharType="begin"/>
            </w:r>
            <w:r w:rsidR="00783210">
              <w:rPr>
                <w:noProof/>
                <w:webHidden/>
              </w:rPr>
              <w:instrText xml:space="preserve"> PAGEREF _Toc17840341 \h </w:instrText>
            </w:r>
            <w:r w:rsidR="00783210">
              <w:rPr>
                <w:noProof/>
                <w:webHidden/>
              </w:rPr>
            </w:r>
            <w:r w:rsidR="00783210">
              <w:rPr>
                <w:noProof/>
                <w:webHidden/>
              </w:rPr>
              <w:fldChar w:fldCharType="separate"/>
            </w:r>
            <w:r w:rsidR="00783210">
              <w:rPr>
                <w:noProof/>
                <w:webHidden/>
              </w:rPr>
              <w:t>26</w:t>
            </w:r>
            <w:r w:rsidR="00783210">
              <w:rPr>
                <w:noProof/>
                <w:webHidden/>
              </w:rPr>
              <w:fldChar w:fldCharType="end"/>
            </w:r>
          </w:hyperlink>
        </w:p>
        <w:p w14:paraId="6805FCA1" w14:textId="11A9E79D" w:rsidR="00783210" w:rsidRDefault="008339A9">
          <w:pPr>
            <w:pStyle w:val="TM2"/>
            <w:tabs>
              <w:tab w:val="left" w:pos="660"/>
              <w:tab w:val="right" w:leader="dot" w:pos="9062"/>
            </w:tabs>
            <w:rPr>
              <w:rFonts w:eastAsiaTheme="minorEastAsia"/>
              <w:noProof/>
              <w:lang w:eastAsia="fr-FR"/>
            </w:rPr>
          </w:pPr>
          <w:hyperlink w:anchor="_Toc17840342" w:history="1">
            <w:r w:rsidR="00783210" w:rsidRPr="003104CA">
              <w:rPr>
                <w:rStyle w:val="Lienhypertexte"/>
                <w:noProof/>
              </w:rPr>
              <w:t>4.</w:t>
            </w:r>
            <w:r w:rsidR="00783210">
              <w:rPr>
                <w:rFonts w:eastAsiaTheme="minorEastAsia"/>
                <w:noProof/>
                <w:lang w:eastAsia="fr-FR"/>
              </w:rPr>
              <w:tab/>
            </w:r>
            <w:r w:rsidR="00783210" w:rsidRPr="003104CA">
              <w:rPr>
                <w:rStyle w:val="Lienhypertexte"/>
                <w:noProof/>
              </w:rPr>
              <w:t>Connaissance et familiarité avec l’assurance</w:t>
            </w:r>
            <w:r w:rsidR="00783210">
              <w:rPr>
                <w:noProof/>
                <w:webHidden/>
              </w:rPr>
              <w:tab/>
            </w:r>
            <w:r w:rsidR="00783210">
              <w:rPr>
                <w:noProof/>
                <w:webHidden/>
              </w:rPr>
              <w:fldChar w:fldCharType="begin"/>
            </w:r>
            <w:r w:rsidR="00783210">
              <w:rPr>
                <w:noProof/>
                <w:webHidden/>
              </w:rPr>
              <w:instrText xml:space="preserve"> PAGEREF _Toc17840342 \h </w:instrText>
            </w:r>
            <w:r w:rsidR="00783210">
              <w:rPr>
                <w:noProof/>
                <w:webHidden/>
              </w:rPr>
            </w:r>
            <w:r w:rsidR="00783210">
              <w:rPr>
                <w:noProof/>
                <w:webHidden/>
              </w:rPr>
              <w:fldChar w:fldCharType="separate"/>
            </w:r>
            <w:r w:rsidR="00783210">
              <w:rPr>
                <w:noProof/>
                <w:webHidden/>
              </w:rPr>
              <w:t>27</w:t>
            </w:r>
            <w:r w:rsidR="00783210">
              <w:rPr>
                <w:noProof/>
                <w:webHidden/>
              </w:rPr>
              <w:fldChar w:fldCharType="end"/>
            </w:r>
          </w:hyperlink>
        </w:p>
        <w:p w14:paraId="48B9A187" w14:textId="7758B472" w:rsidR="00783210" w:rsidRDefault="008339A9">
          <w:pPr>
            <w:pStyle w:val="TM2"/>
            <w:tabs>
              <w:tab w:val="left" w:pos="660"/>
              <w:tab w:val="right" w:leader="dot" w:pos="9062"/>
            </w:tabs>
            <w:rPr>
              <w:rFonts w:eastAsiaTheme="minorEastAsia"/>
              <w:noProof/>
              <w:lang w:eastAsia="fr-FR"/>
            </w:rPr>
          </w:pPr>
          <w:hyperlink w:anchor="_Toc17840343" w:history="1">
            <w:r w:rsidR="00783210" w:rsidRPr="003104CA">
              <w:rPr>
                <w:rStyle w:val="Lienhypertexte"/>
                <w:noProof/>
              </w:rPr>
              <w:t>5.</w:t>
            </w:r>
            <w:r w:rsidR="00783210">
              <w:rPr>
                <w:rFonts w:eastAsiaTheme="minorEastAsia"/>
                <w:noProof/>
                <w:lang w:eastAsia="fr-FR"/>
              </w:rPr>
              <w:tab/>
            </w:r>
            <w:r w:rsidR="00783210" w:rsidRPr="003104CA">
              <w:rPr>
                <w:rStyle w:val="Lienhypertexte"/>
                <w:noProof/>
              </w:rPr>
              <w:t>Perception sur l’utilité ou pas de l’assurance</w:t>
            </w:r>
            <w:r w:rsidR="00783210">
              <w:rPr>
                <w:noProof/>
                <w:webHidden/>
              </w:rPr>
              <w:tab/>
            </w:r>
            <w:r w:rsidR="00783210">
              <w:rPr>
                <w:noProof/>
                <w:webHidden/>
              </w:rPr>
              <w:fldChar w:fldCharType="begin"/>
            </w:r>
            <w:r w:rsidR="00783210">
              <w:rPr>
                <w:noProof/>
                <w:webHidden/>
              </w:rPr>
              <w:instrText xml:space="preserve"> PAGEREF _Toc17840343 \h </w:instrText>
            </w:r>
            <w:r w:rsidR="00783210">
              <w:rPr>
                <w:noProof/>
                <w:webHidden/>
              </w:rPr>
            </w:r>
            <w:r w:rsidR="00783210">
              <w:rPr>
                <w:noProof/>
                <w:webHidden/>
              </w:rPr>
              <w:fldChar w:fldCharType="separate"/>
            </w:r>
            <w:r w:rsidR="00783210">
              <w:rPr>
                <w:noProof/>
                <w:webHidden/>
              </w:rPr>
              <w:t>28</w:t>
            </w:r>
            <w:r w:rsidR="00783210">
              <w:rPr>
                <w:noProof/>
                <w:webHidden/>
              </w:rPr>
              <w:fldChar w:fldCharType="end"/>
            </w:r>
          </w:hyperlink>
        </w:p>
        <w:p w14:paraId="1476873F" w14:textId="48B4C30B" w:rsidR="00783210" w:rsidRDefault="008339A9">
          <w:pPr>
            <w:pStyle w:val="TM2"/>
            <w:tabs>
              <w:tab w:val="left" w:pos="660"/>
              <w:tab w:val="right" w:leader="dot" w:pos="9062"/>
            </w:tabs>
            <w:rPr>
              <w:rFonts w:eastAsiaTheme="minorEastAsia"/>
              <w:noProof/>
              <w:lang w:eastAsia="fr-FR"/>
            </w:rPr>
          </w:pPr>
          <w:hyperlink w:anchor="_Toc17840344" w:history="1">
            <w:r w:rsidR="00783210" w:rsidRPr="003104CA">
              <w:rPr>
                <w:rStyle w:val="Lienhypertexte"/>
                <w:noProof/>
              </w:rPr>
              <w:t>6.</w:t>
            </w:r>
            <w:r w:rsidR="00783210">
              <w:rPr>
                <w:rFonts w:eastAsiaTheme="minorEastAsia"/>
                <w:noProof/>
                <w:lang w:eastAsia="fr-FR"/>
              </w:rPr>
              <w:tab/>
            </w:r>
            <w:r w:rsidR="00783210" w:rsidRPr="003104CA">
              <w:rPr>
                <w:rStyle w:val="Lienhypertexte"/>
                <w:noProof/>
              </w:rPr>
              <w:t>Consentement à payer pour l’assurance indicielle</w:t>
            </w:r>
            <w:r w:rsidR="00783210">
              <w:rPr>
                <w:noProof/>
                <w:webHidden/>
              </w:rPr>
              <w:tab/>
            </w:r>
            <w:r w:rsidR="00783210">
              <w:rPr>
                <w:noProof/>
                <w:webHidden/>
              </w:rPr>
              <w:fldChar w:fldCharType="begin"/>
            </w:r>
            <w:r w:rsidR="00783210">
              <w:rPr>
                <w:noProof/>
                <w:webHidden/>
              </w:rPr>
              <w:instrText xml:space="preserve"> PAGEREF _Toc17840344 \h </w:instrText>
            </w:r>
            <w:r w:rsidR="00783210">
              <w:rPr>
                <w:noProof/>
                <w:webHidden/>
              </w:rPr>
            </w:r>
            <w:r w:rsidR="00783210">
              <w:rPr>
                <w:noProof/>
                <w:webHidden/>
              </w:rPr>
              <w:fldChar w:fldCharType="separate"/>
            </w:r>
            <w:r w:rsidR="00783210">
              <w:rPr>
                <w:noProof/>
                <w:webHidden/>
              </w:rPr>
              <w:t>30</w:t>
            </w:r>
            <w:r w:rsidR="00783210">
              <w:rPr>
                <w:noProof/>
                <w:webHidden/>
              </w:rPr>
              <w:fldChar w:fldCharType="end"/>
            </w:r>
          </w:hyperlink>
        </w:p>
        <w:p w14:paraId="222F2F24" w14:textId="27B730BF" w:rsidR="00783210" w:rsidRDefault="008339A9">
          <w:pPr>
            <w:pStyle w:val="TM3"/>
            <w:tabs>
              <w:tab w:val="left" w:pos="880"/>
              <w:tab w:val="right" w:leader="dot" w:pos="9062"/>
            </w:tabs>
            <w:rPr>
              <w:rFonts w:eastAsiaTheme="minorEastAsia"/>
              <w:noProof/>
              <w:lang w:eastAsia="fr-FR"/>
            </w:rPr>
          </w:pPr>
          <w:hyperlink w:anchor="_Toc17840345" w:history="1">
            <w:r w:rsidR="00783210" w:rsidRPr="003104CA">
              <w:rPr>
                <w:rStyle w:val="Lienhypertexte"/>
                <w:noProof/>
              </w:rPr>
              <w:t>a.</w:t>
            </w:r>
            <w:r w:rsidR="00783210">
              <w:rPr>
                <w:rFonts w:eastAsiaTheme="minorEastAsia"/>
                <w:noProof/>
                <w:lang w:eastAsia="fr-FR"/>
              </w:rPr>
              <w:tab/>
            </w:r>
            <w:r w:rsidR="00783210" w:rsidRPr="003104CA">
              <w:rPr>
                <w:rStyle w:val="Lienhypertexte"/>
                <w:noProof/>
              </w:rPr>
              <w:t>Les consentements à payer moyens</w:t>
            </w:r>
            <w:r w:rsidR="00783210">
              <w:rPr>
                <w:noProof/>
                <w:webHidden/>
              </w:rPr>
              <w:tab/>
            </w:r>
            <w:r w:rsidR="00783210">
              <w:rPr>
                <w:noProof/>
                <w:webHidden/>
              </w:rPr>
              <w:fldChar w:fldCharType="begin"/>
            </w:r>
            <w:r w:rsidR="00783210">
              <w:rPr>
                <w:noProof/>
                <w:webHidden/>
              </w:rPr>
              <w:instrText xml:space="preserve"> PAGEREF _Toc17840345 \h </w:instrText>
            </w:r>
            <w:r w:rsidR="00783210">
              <w:rPr>
                <w:noProof/>
                <w:webHidden/>
              </w:rPr>
            </w:r>
            <w:r w:rsidR="00783210">
              <w:rPr>
                <w:noProof/>
                <w:webHidden/>
              </w:rPr>
              <w:fldChar w:fldCharType="separate"/>
            </w:r>
            <w:r w:rsidR="00783210">
              <w:rPr>
                <w:noProof/>
                <w:webHidden/>
              </w:rPr>
              <w:t>30</w:t>
            </w:r>
            <w:r w:rsidR="00783210">
              <w:rPr>
                <w:noProof/>
                <w:webHidden/>
              </w:rPr>
              <w:fldChar w:fldCharType="end"/>
            </w:r>
          </w:hyperlink>
        </w:p>
        <w:p w14:paraId="073034D9" w14:textId="5BF4108B" w:rsidR="00783210" w:rsidRDefault="008339A9">
          <w:pPr>
            <w:pStyle w:val="TM3"/>
            <w:tabs>
              <w:tab w:val="left" w:pos="880"/>
              <w:tab w:val="right" w:leader="dot" w:pos="9062"/>
            </w:tabs>
            <w:rPr>
              <w:rFonts w:eastAsiaTheme="minorEastAsia"/>
              <w:noProof/>
              <w:lang w:eastAsia="fr-FR"/>
            </w:rPr>
          </w:pPr>
          <w:hyperlink w:anchor="_Toc17840346" w:history="1">
            <w:r w:rsidR="00783210" w:rsidRPr="003104CA">
              <w:rPr>
                <w:rStyle w:val="Lienhypertexte"/>
                <w:noProof/>
              </w:rPr>
              <w:t>b.</w:t>
            </w:r>
            <w:r w:rsidR="00783210">
              <w:rPr>
                <w:rFonts w:eastAsiaTheme="minorEastAsia"/>
                <w:noProof/>
                <w:lang w:eastAsia="fr-FR"/>
              </w:rPr>
              <w:tab/>
            </w:r>
            <w:r w:rsidR="00783210" w:rsidRPr="003104CA">
              <w:rPr>
                <w:rStyle w:val="Lienhypertexte"/>
                <w:noProof/>
              </w:rPr>
              <w:t>Le consentement à payer selon le genre, le niveau d’éducation et la taille du troupeau</w:t>
            </w:r>
            <w:r w:rsidR="00783210">
              <w:rPr>
                <w:noProof/>
                <w:webHidden/>
              </w:rPr>
              <w:tab/>
            </w:r>
            <w:r w:rsidR="00783210">
              <w:rPr>
                <w:noProof/>
                <w:webHidden/>
              </w:rPr>
              <w:fldChar w:fldCharType="begin"/>
            </w:r>
            <w:r w:rsidR="00783210">
              <w:rPr>
                <w:noProof/>
                <w:webHidden/>
              </w:rPr>
              <w:instrText xml:space="preserve"> PAGEREF _Toc17840346 \h </w:instrText>
            </w:r>
            <w:r w:rsidR="00783210">
              <w:rPr>
                <w:noProof/>
                <w:webHidden/>
              </w:rPr>
            </w:r>
            <w:r w:rsidR="00783210">
              <w:rPr>
                <w:noProof/>
                <w:webHidden/>
              </w:rPr>
              <w:fldChar w:fldCharType="separate"/>
            </w:r>
            <w:r w:rsidR="00783210">
              <w:rPr>
                <w:noProof/>
                <w:webHidden/>
              </w:rPr>
              <w:t>35</w:t>
            </w:r>
            <w:r w:rsidR="00783210">
              <w:rPr>
                <w:noProof/>
                <w:webHidden/>
              </w:rPr>
              <w:fldChar w:fldCharType="end"/>
            </w:r>
          </w:hyperlink>
        </w:p>
        <w:p w14:paraId="5F682838" w14:textId="798AD535" w:rsidR="00783210" w:rsidRDefault="008339A9">
          <w:pPr>
            <w:pStyle w:val="TM1"/>
            <w:tabs>
              <w:tab w:val="left" w:pos="660"/>
              <w:tab w:val="right" w:leader="dot" w:pos="9062"/>
            </w:tabs>
            <w:rPr>
              <w:rFonts w:eastAsiaTheme="minorEastAsia"/>
              <w:noProof/>
              <w:lang w:eastAsia="fr-FR"/>
            </w:rPr>
          </w:pPr>
          <w:hyperlink w:anchor="_Toc17840347" w:history="1">
            <w:r w:rsidR="00783210" w:rsidRPr="003104CA">
              <w:rPr>
                <w:rStyle w:val="Lienhypertexte"/>
                <w:noProof/>
              </w:rPr>
              <w:t>VI.</w:t>
            </w:r>
            <w:r w:rsidR="00783210">
              <w:rPr>
                <w:rFonts w:eastAsiaTheme="minorEastAsia"/>
                <w:noProof/>
                <w:lang w:eastAsia="fr-FR"/>
              </w:rPr>
              <w:tab/>
            </w:r>
            <w:r w:rsidR="00783210" w:rsidRPr="003104CA">
              <w:rPr>
                <w:rStyle w:val="Lienhypertexte"/>
                <w:noProof/>
              </w:rPr>
              <w:t>Discussions et Recommandations</w:t>
            </w:r>
            <w:r w:rsidR="00783210">
              <w:rPr>
                <w:noProof/>
                <w:webHidden/>
              </w:rPr>
              <w:tab/>
            </w:r>
            <w:r w:rsidR="00783210">
              <w:rPr>
                <w:noProof/>
                <w:webHidden/>
              </w:rPr>
              <w:fldChar w:fldCharType="begin"/>
            </w:r>
            <w:r w:rsidR="00783210">
              <w:rPr>
                <w:noProof/>
                <w:webHidden/>
              </w:rPr>
              <w:instrText xml:space="preserve"> PAGEREF _Toc17840347 \h </w:instrText>
            </w:r>
            <w:r w:rsidR="00783210">
              <w:rPr>
                <w:noProof/>
                <w:webHidden/>
              </w:rPr>
            </w:r>
            <w:r w:rsidR="00783210">
              <w:rPr>
                <w:noProof/>
                <w:webHidden/>
              </w:rPr>
              <w:fldChar w:fldCharType="separate"/>
            </w:r>
            <w:r w:rsidR="00783210">
              <w:rPr>
                <w:noProof/>
                <w:webHidden/>
              </w:rPr>
              <w:t>36</w:t>
            </w:r>
            <w:r w:rsidR="00783210">
              <w:rPr>
                <w:noProof/>
                <w:webHidden/>
              </w:rPr>
              <w:fldChar w:fldCharType="end"/>
            </w:r>
          </w:hyperlink>
        </w:p>
        <w:p w14:paraId="39DBDFCF" w14:textId="0D57B159" w:rsidR="00783210" w:rsidRDefault="008339A9">
          <w:pPr>
            <w:pStyle w:val="TM2"/>
            <w:tabs>
              <w:tab w:val="left" w:pos="660"/>
              <w:tab w:val="right" w:leader="dot" w:pos="9062"/>
            </w:tabs>
            <w:rPr>
              <w:rFonts w:eastAsiaTheme="minorEastAsia"/>
              <w:noProof/>
              <w:lang w:eastAsia="fr-FR"/>
            </w:rPr>
          </w:pPr>
          <w:hyperlink w:anchor="_Toc17840348" w:history="1">
            <w:r w:rsidR="00783210" w:rsidRPr="003104CA">
              <w:rPr>
                <w:rStyle w:val="Lienhypertexte"/>
                <w:noProof/>
              </w:rPr>
              <w:t>1.</w:t>
            </w:r>
            <w:r w:rsidR="00783210">
              <w:rPr>
                <w:rFonts w:eastAsiaTheme="minorEastAsia"/>
                <w:noProof/>
                <w:lang w:eastAsia="fr-FR"/>
              </w:rPr>
              <w:tab/>
            </w:r>
            <w:r w:rsidR="00783210" w:rsidRPr="003104CA">
              <w:rPr>
                <w:rStyle w:val="Lienhypertexte"/>
                <w:noProof/>
              </w:rPr>
              <w:t>La communication et la sensibilisation sur l’assurance bétail</w:t>
            </w:r>
            <w:r w:rsidR="00783210">
              <w:rPr>
                <w:noProof/>
                <w:webHidden/>
              </w:rPr>
              <w:tab/>
            </w:r>
            <w:r w:rsidR="00783210">
              <w:rPr>
                <w:noProof/>
                <w:webHidden/>
              </w:rPr>
              <w:fldChar w:fldCharType="begin"/>
            </w:r>
            <w:r w:rsidR="00783210">
              <w:rPr>
                <w:noProof/>
                <w:webHidden/>
              </w:rPr>
              <w:instrText xml:space="preserve"> PAGEREF _Toc17840348 \h </w:instrText>
            </w:r>
            <w:r w:rsidR="00783210">
              <w:rPr>
                <w:noProof/>
                <w:webHidden/>
              </w:rPr>
            </w:r>
            <w:r w:rsidR="00783210">
              <w:rPr>
                <w:noProof/>
                <w:webHidden/>
              </w:rPr>
              <w:fldChar w:fldCharType="separate"/>
            </w:r>
            <w:r w:rsidR="00783210">
              <w:rPr>
                <w:noProof/>
                <w:webHidden/>
              </w:rPr>
              <w:t>36</w:t>
            </w:r>
            <w:r w:rsidR="00783210">
              <w:rPr>
                <w:noProof/>
                <w:webHidden/>
              </w:rPr>
              <w:fldChar w:fldCharType="end"/>
            </w:r>
          </w:hyperlink>
        </w:p>
        <w:p w14:paraId="4325DE84" w14:textId="656A3308" w:rsidR="00783210" w:rsidRDefault="008339A9">
          <w:pPr>
            <w:pStyle w:val="TM2"/>
            <w:tabs>
              <w:tab w:val="left" w:pos="660"/>
              <w:tab w:val="right" w:leader="dot" w:pos="9062"/>
            </w:tabs>
            <w:rPr>
              <w:rFonts w:eastAsiaTheme="minorEastAsia"/>
              <w:noProof/>
              <w:lang w:eastAsia="fr-FR"/>
            </w:rPr>
          </w:pPr>
          <w:hyperlink w:anchor="_Toc17840349" w:history="1">
            <w:r w:rsidR="00783210" w:rsidRPr="003104CA">
              <w:rPr>
                <w:rStyle w:val="Lienhypertexte"/>
                <w:noProof/>
              </w:rPr>
              <w:t>2.</w:t>
            </w:r>
            <w:r w:rsidR="00783210">
              <w:rPr>
                <w:rFonts w:eastAsiaTheme="minorEastAsia"/>
                <w:noProof/>
                <w:lang w:eastAsia="fr-FR"/>
              </w:rPr>
              <w:tab/>
            </w:r>
            <w:r w:rsidR="00783210" w:rsidRPr="003104CA">
              <w:rPr>
                <w:rStyle w:val="Lienhypertexte"/>
                <w:noProof/>
              </w:rPr>
              <w:t>Assurer quel risque avec quel type d’assurance ?</w:t>
            </w:r>
            <w:r w:rsidR="00783210">
              <w:rPr>
                <w:noProof/>
                <w:webHidden/>
              </w:rPr>
              <w:tab/>
            </w:r>
            <w:r w:rsidR="00783210">
              <w:rPr>
                <w:noProof/>
                <w:webHidden/>
              </w:rPr>
              <w:fldChar w:fldCharType="begin"/>
            </w:r>
            <w:r w:rsidR="00783210">
              <w:rPr>
                <w:noProof/>
                <w:webHidden/>
              </w:rPr>
              <w:instrText xml:space="preserve"> PAGEREF _Toc17840349 \h </w:instrText>
            </w:r>
            <w:r w:rsidR="00783210">
              <w:rPr>
                <w:noProof/>
                <w:webHidden/>
              </w:rPr>
            </w:r>
            <w:r w:rsidR="00783210">
              <w:rPr>
                <w:noProof/>
                <w:webHidden/>
              </w:rPr>
              <w:fldChar w:fldCharType="separate"/>
            </w:r>
            <w:r w:rsidR="00783210">
              <w:rPr>
                <w:noProof/>
                <w:webHidden/>
              </w:rPr>
              <w:t>37</w:t>
            </w:r>
            <w:r w:rsidR="00783210">
              <w:rPr>
                <w:noProof/>
                <w:webHidden/>
              </w:rPr>
              <w:fldChar w:fldCharType="end"/>
            </w:r>
          </w:hyperlink>
        </w:p>
        <w:p w14:paraId="1ED65163" w14:textId="3FF6ABB2" w:rsidR="00783210" w:rsidRDefault="008339A9">
          <w:pPr>
            <w:pStyle w:val="TM2"/>
            <w:tabs>
              <w:tab w:val="left" w:pos="660"/>
              <w:tab w:val="right" w:leader="dot" w:pos="9062"/>
            </w:tabs>
            <w:rPr>
              <w:rFonts w:eastAsiaTheme="minorEastAsia"/>
              <w:noProof/>
              <w:lang w:eastAsia="fr-FR"/>
            </w:rPr>
          </w:pPr>
          <w:hyperlink w:anchor="_Toc17840350" w:history="1">
            <w:r w:rsidR="00783210" w:rsidRPr="003104CA">
              <w:rPr>
                <w:rStyle w:val="Lienhypertexte"/>
                <w:noProof/>
              </w:rPr>
              <w:t>3.</w:t>
            </w:r>
            <w:r w:rsidR="00783210">
              <w:rPr>
                <w:rFonts w:eastAsiaTheme="minorEastAsia"/>
                <w:noProof/>
                <w:lang w:eastAsia="fr-FR"/>
              </w:rPr>
              <w:tab/>
            </w:r>
            <w:r w:rsidR="00783210" w:rsidRPr="003104CA">
              <w:rPr>
                <w:rStyle w:val="Lienhypertexte"/>
                <w:noProof/>
              </w:rPr>
              <w:t>Quelle tarification pour un potentiel produit d’assurance indicielle bétail ?</w:t>
            </w:r>
            <w:r w:rsidR="00783210">
              <w:rPr>
                <w:noProof/>
                <w:webHidden/>
              </w:rPr>
              <w:tab/>
            </w:r>
            <w:r w:rsidR="00783210">
              <w:rPr>
                <w:noProof/>
                <w:webHidden/>
              </w:rPr>
              <w:fldChar w:fldCharType="begin"/>
            </w:r>
            <w:r w:rsidR="00783210">
              <w:rPr>
                <w:noProof/>
                <w:webHidden/>
              </w:rPr>
              <w:instrText xml:space="preserve"> PAGEREF _Toc17840350 \h </w:instrText>
            </w:r>
            <w:r w:rsidR="00783210">
              <w:rPr>
                <w:noProof/>
                <w:webHidden/>
              </w:rPr>
            </w:r>
            <w:r w:rsidR="00783210">
              <w:rPr>
                <w:noProof/>
                <w:webHidden/>
              </w:rPr>
              <w:fldChar w:fldCharType="separate"/>
            </w:r>
            <w:r w:rsidR="00783210">
              <w:rPr>
                <w:noProof/>
                <w:webHidden/>
              </w:rPr>
              <w:t>38</w:t>
            </w:r>
            <w:r w:rsidR="00783210">
              <w:rPr>
                <w:noProof/>
                <w:webHidden/>
              </w:rPr>
              <w:fldChar w:fldCharType="end"/>
            </w:r>
          </w:hyperlink>
        </w:p>
        <w:p w14:paraId="1EFCF7DE" w14:textId="571437C0" w:rsidR="00783210" w:rsidRDefault="008339A9">
          <w:pPr>
            <w:pStyle w:val="TM1"/>
            <w:tabs>
              <w:tab w:val="left" w:pos="660"/>
              <w:tab w:val="right" w:leader="dot" w:pos="9062"/>
            </w:tabs>
            <w:rPr>
              <w:rFonts w:eastAsiaTheme="minorEastAsia"/>
              <w:noProof/>
              <w:lang w:eastAsia="fr-FR"/>
            </w:rPr>
          </w:pPr>
          <w:hyperlink w:anchor="_Toc17840351" w:history="1">
            <w:r w:rsidR="00783210" w:rsidRPr="003104CA">
              <w:rPr>
                <w:rStyle w:val="Lienhypertexte"/>
                <w:noProof/>
              </w:rPr>
              <w:t>VII.</w:t>
            </w:r>
            <w:r w:rsidR="00783210">
              <w:rPr>
                <w:rFonts w:eastAsiaTheme="minorEastAsia"/>
                <w:noProof/>
                <w:lang w:eastAsia="fr-FR"/>
              </w:rPr>
              <w:tab/>
            </w:r>
            <w:r w:rsidR="00783210" w:rsidRPr="003104CA">
              <w:rPr>
                <w:rStyle w:val="Lienhypertexte"/>
                <w:noProof/>
              </w:rPr>
              <w:t>Bibliographie</w:t>
            </w:r>
            <w:r w:rsidR="00783210">
              <w:rPr>
                <w:noProof/>
                <w:webHidden/>
              </w:rPr>
              <w:tab/>
            </w:r>
            <w:r w:rsidR="00783210">
              <w:rPr>
                <w:noProof/>
                <w:webHidden/>
              </w:rPr>
              <w:fldChar w:fldCharType="begin"/>
            </w:r>
            <w:r w:rsidR="00783210">
              <w:rPr>
                <w:noProof/>
                <w:webHidden/>
              </w:rPr>
              <w:instrText xml:space="preserve"> PAGEREF _Toc17840351 \h </w:instrText>
            </w:r>
            <w:r w:rsidR="00783210">
              <w:rPr>
                <w:noProof/>
                <w:webHidden/>
              </w:rPr>
            </w:r>
            <w:r w:rsidR="00783210">
              <w:rPr>
                <w:noProof/>
                <w:webHidden/>
              </w:rPr>
              <w:fldChar w:fldCharType="separate"/>
            </w:r>
            <w:r w:rsidR="00783210">
              <w:rPr>
                <w:noProof/>
                <w:webHidden/>
              </w:rPr>
              <w:t>38</w:t>
            </w:r>
            <w:r w:rsidR="00783210">
              <w:rPr>
                <w:noProof/>
                <w:webHidden/>
              </w:rPr>
              <w:fldChar w:fldCharType="end"/>
            </w:r>
          </w:hyperlink>
        </w:p>
        <w:p w14:paraId="69BDBC43" w14:textId="22F4221F" w:rsidR="00783210" w:rsidRDefault="008339A9">
          <w:pPr>
            <w:pStyle w:val="TM1"/>
            <w:tabs>
              <w:tab w:val="left" w:pos="660"/>
              <w:tab w:val="right" w:leader="dot" w:pos="9062"/>
            </w:tabs>
            <w:rPr>
              <w:rFonts w:eastAsiaTheme="minorEastAsia"/>
              <w:noProof/>
              <w:lang w:eastAsia="fr-FR"/>
            </w:rPr>
          </w:pPr>
          <w:hyperlink w:anchor="_Toc17840352" w:history="1">
            <w:r w:rsidR="00783210" w:rsidRPr="003104CA">
              <w:rPr>
                <w:rStyle w:val="Lienhypertexte"/>
                <w:noProof/>
              </w:rPr>
              <w:t>VIII.</w:t>
            </w:r>
            <w:r w:rsidR="00783210">
              <w:rPr>
                <w:rFonts w:eastAsiaTheme="minorEastAsia"/>
                <w:noProof/>
                <w:lang w:eastAsia="fr-FR"/>
              </w:rPr>
              <w:tab/>
            </w:r>
            <w:r w:rsidR="00783210" w:rsidRPr="003104CA">
              <w:rPr>
                <w:rStyle w:val="Lienhypertexte"/>
                <w:noProof/>
              </w:rPr>
              <w:t>Annexes</w:t>
            </w:r>
            <w:r w:rsidR="00783210">
              <w:rPr>
                <w:noProof/>
                <w:webHidden/>
              </w:rPr>
              <w:tab/>
            </w:r>
            <w:r w:rsidR="00783210">
              <w:rPr>
                <w:noProof/>
                <w:webHidden/>
              </w:rPr>
              <w:fldChar w:fldCharType="begin"/>
            </w:r>
            <w:r w:rsidR="00783210">
              <w:rPr>
                <w:noProof/>
                <w:webHidden/>
              </w:rPr>
              <w:instrText xml:space="preserve"> PAGEREF _Toc17840352 \h </w:instrText>
            </w:r>
            <w:r w:rsidR="00783210">
              <w:rPr>
                <w:noProof/>
                <w:webHidden/>
              </w:rPr>
            </w:r>
            <w:r w:rsidR="00783210">
              <w:rPr>
                <w:noProof/>
                <w:webHidden/>
              </w:rPr>
              <w:fldChar w:fldCharType="separate"/>
            </w:r>
            <w:r w:rsidR="00783210">
              <w:rPr>
                <w:noProof/>
                <w:webHidden/>
              </w:rPr>
              <w:t>40</w:t>
            </w:r>
            <w:r w:rsidR="00783210">
              <w:rPr>
                <w:noProof/>
                <w:webHidden/>
              </w:rPr>
              <w:fldChar w:fldCharType="end"/>
            </w:r>
          </w:hyperlink>
        </w:p>
        <w:p w14:paraId="2EEC5485" w14:textId="2AF3A931" w:rsidR="00783210" w:rsidRDefault="008339A9">
          <w:pPr>
            <w:pStyle w:val="TM2"/>
            <w:tabs>
              <w:tab w:val="left" w:pos="660"/>
              <w:tab w:val="right" w:leader="dot" w:pos="9062"/>
            </w:tabs>
            <w:rPr>
              <w:rFonts w:eastAsiaTheme="minorEastAsia"/>
              <w:noProof/>
              <w:lang w:eastAsia="fr-FR"/>
            </w:rPr>
          </w:pPr>
          <w:hyperlink w:anchor="_Toc17840353" w:history="1">
            <w:r w:rsidR="00783210" w:rsidRPr="003104CA">
              <w:rPr>
                <w:rStyle w:val="Lienhypertexte"/>
                <w:rFonts w:eastAsia="Calibri"/>
                <w:noProof/>
              </w:rPr>
              <w:t>1.</w:t>
            </w:r>
            <w:r w:rsidR="00783210">
              <w:rPr>
                <w:rFonts w:eastAsiaTheme="minorEastAsia"/>
                <w:noProof/>
                <w:lang w:eastAsia="fr-FR"/>
              </w:rPr>
              <w:tab/>
            </w:r>
            <w:r w:rsidR="00783210" w:rsidRPr="003104CA">
              <w:rPr>
                <w:rStyle w:val="Lienhypertexte"/>
                <w:rFonts w:eastAsia="Calibri"/>
                <w:noProof/>
              </w:rPr>
              <w:t>Taille de l’échantillon</w:t>
            </w:r>
            <w:r w:rsidR="00783210">
              <w:rPr>
                <w:noProof/>
                <w:webHidden/>
              </w:rPr>
              <w:tab/>
            </w:r>
            <w:r w:rsidR="00783210">
              <w:rPr>
                <w:noProof/>
                <w:webHidden/>
              </w:rPr>
              <w:fldChar w:fldCharType="begin"/>
            </w:r>
            <w:r w:rsidR="00783210">
              <w:rPr>
                <w:noProof/>
                <w:webHidden/>
              </w:rPr>
              <w:instrText xml:space="preserve"> PAGEREF _Toc17840353 \h </w:instrText>
            </w:r>
            <w:r w:rsidR="00783210">
              <w:rPr>
                <w:noProof/>
                <w:webHidden/>
              </w:rPr>
            </w:r>
            <w:r w:rsidR="00783210">
              <w:rPr>
                <w:noProof/>
                <w:webHidden/>
              </w:rPr>
              <w:fldChar w:fldCharType="separate"/>
            </w:r>
            <w:r w:rsidR="00783210">
              <w:rPr>
                <w:noProof/>
                <w:webHidden/>
              </w:rPr>
              <w:t>40</w:t>
            </w:r>
            <w:r w:rsidR="00783210">
              <w:rPr>
                <w:noProof/>
                <w:webHidden/>
              </w:rPr>
              <w:fldChar w:fldCharType="end"/>
            </w:r>
          </w:hyperlink>
        </w:p>
        <w:p w14:paraId="3B7347A9" w14:textId="1350157D" w:rsidR="00783210" w:rsidRDefault="008339A9">
          <w:pPr>
            <w:pStyle w:val="TM2"/>
            <w:tabs>
              <w:tab w:val="left" w:pos="660"/>
              <w:tab w:val="right" w:leader="dot" w:pos="9062"/>
            </w:tabs>
            <w:rPr>
              <w:rFonts w:eastAsiaTheme="minorEastAsia"/>
              <w:noProof/>
              <w:lang w:eastAsia="fr-FR"/>
            </w:rPr>
          </w:pPr>
          <w:hyperlink w:anchor="_Toc17840354" w:history="1">
            <w:r w:rsidR="00783210" w:rsidRPr="003104CA">
              <w:rPr>
                <w:rStyle w:val="Lienhypertexte"/>
                <w:noProof/>
              </w:rPr>
              <w:t>2.</w:t>
            </w:r>
            <w:r w:rsidR="00783210">
              <w:rPr>
                <w:rFonts w:eastAsiaTheme="minorEastAsia"/>
                <w:noProof/>
                <w:lang w:eastAsia="fr-FR"/>
              </w:rPr>
              <w:tab/>
            </w:r>
            <w:r w:rsidR="00783210" w:rsidRPr="003104CA">
              <w:rPr>
                <w:rStyle w:val="Lienhypertexte"/>
                <w:noProof/>
              </w:rPr>
              <w:t>Liste des communes et villages retenus pour les enquêtes :</w:t>
            </w:r>
            <w:r w:rsidR="00783210">
              <w:rPr>
                <w:noProof/>
                <w:webHidden/>
              </w:rPr>
              <w:tab/>
            </w:r>
            <w:r w:rsidR="00783210">
              <w:rPr>
                <w:noProof/>
                <w:webHidden/>
              </w:rPr>
              <w:fldChar w:fldCharType="begin"/>
            </w:r>
            <w:r w:rsidR="00783210">
              <w:rPr>
                <w:noProof/>
                <w:webHidden/>
              </w:rPr>
              <w:instrText xml:space="preserve"> PAGEREF _Toc17840354 \h </w:instrText>
            </w:r>
            <w:r w:rsidR="00783210">
              <w:rPr>
                <w:noProof/>
                <w:webHidden/>
              </w:rPr>
            </w:r>
            <w:r w:rsidR="00783210">
              <w:rPr>
                <w:noProof/>
                <w:webHidden/>
              </w:rPr>
              <w:fldChar w:fldCharType="separate"/>
            </w:r>
            <w:r w:rsidR="00783210">
              <w:rPr>
                <w:noProof/>
                <w:webHidden/>
              </w:rPr>
              <w:t>40</w:t>
            </w:r>
            <w:r w:rsidR="00783210">
              <w:rPr>
                <w:noProof/>
                <w:webHidden/>
              </w:rPr>
              <w:fldChar w:fldCharType="end"/>
            </w:r>
          </w:hyperlink>
        </w:p>
        <w:p w14:paraId="22E02E67" w14:textId="0E57000C" w:rsidR="007C2F5D" w:rsidRDefault="007C2F5D">
          <w:r>
            <w:rPr>
              <w:b/>
              <w:bCs/>
            </w:rPr>
            <w:fldChar w:fldCharType="end"/>
          </w:r>
        </w:p>
      </w:sdtContent>
    </w:sdt>
    <w:p w14:paraId="449E0BAF" w14:textId="5F52B5AC" w:rsidR="00B21741" w:rsidRDefault="00B21741" w:rsidP="00B21741"/>
    <w:p w14:paraId="10A07574" w14:textId="77777777" w:rsidR="00B21741" w:rsidRPr="00B21741" w:rsidRDefault="00B21741" w:rsidP="00B21741"/>
    <w:p w14:paraId="27A2B0BC" w14:textId="77777777" w:rsidR="00F07A77" w:rsidRDefault="00F07A77" w:rsidP="00B21741">
      <w:pPr>
        <w:sectPr w:rsidR="00F07A77" w:rsidSect="00E4348F">
          <w:headerReference w:type="first" r:id="rId17"/>
          <w:pgSz w:w="11906" w:h="16838"/>
          <w:pgMar w:top="1417" w:right="1417" w:bottom="1417" w:left="1417" w:header="708" w:footer="708" w:gutter="0"/>
          <w:cols w:space="708"/>
          <w:titlePg/>
          <w:docGrid w:linePitch="360"/>
        </w:sectPr>
      </w:pPr>
    </w:p>
    <w:p w14:paraId="703653C4" w14:textId="68F1E89A" w:rsidR="002A0AC7" w:rsidRDefault="002A0AC7" w:rsidP="002A0AC7">
      <w:pPr>
        <w:pStyle w:val="Titre1"/>
      </w:pPr>
      <w:bookmarkStart w:id="2" w:name="_Toc17840306"/>
      <w:r>
        <w:lastRenderedPageBreak/>
        <w:t>Liste des Figures</w:t>
      </w:r>
      <w:bookmarkEnd w:id="2"/>
    </w:p>
    <w:p w14:paraId="0B1BD8BA" w14:textId="164BACF1" w:rsidR="002A0AC7" w:rsidRDefault="002A0AC7">
      <w:pPr>
        <w:pStyle w:val="Tabledesillustrations"/>
        <w:tabs>
          <w:tab w:val="left" w:pos="4449"/>
          <w:tab w:val="right" w:leader="dot" w:pos="9062"/>
        </w:tabs>
        <w:rPr>
          <w:rFonts w:eastAsiaTheme="minorEastAsia" w:cstheme="minorBidi"/>
          <w:smallCaps w:val="0"/>
          <w:noProof/>
          <w:sz w:val="22"/>
          <w:szCs w:val="22"/>
          <w:lang w:eastAsia="fr-FR"/>
        </w:rPr>
      </w:pPr>
      <w:r>
        <w:fldChar w:fldCharType="begin"/>
      </w:r>
      <w:r>
        <w:instrText xml:space="preserve"> TOC \h \z \c "Figure" </w:instrText>
      </w:r>
      <w:r>
        <w:fldChar w:fldCharType="separate"/>
      </w:r>
      <w:hyperlink w:anchor="_Toc17840171" w:history="1">
        <w:r w:rsidRPr="006A084B">
          <w:rPr>
            <w:rStyle w:val="Lienhypertexte"/>
            <w:noProof/>
          </w:rPr>
          <w:t>Figure 1: Répartition de l'échantillon par département</w:t>
        </w:r>
        <w:r>
          <w:rPr>
            <w:rFonts w:eastAsiaTheme="minorEastAsia" w:cstheme="minorBidi"/>
            <w:smallCaps w:val="0"/>
            <w:noProof/>
            <w:sz w:val="22"/>
            <w:szCs w:val="22"/>
            <w:lang w:eastAsia="fr-FR"/>
          </w:rPr>
          <w:tab/>
        </w:r>
        <w:r w:rsidRPr="006A084B">
          <w:rPr>
            <w:rStyle w:val="Lienhypertexte"/>
            <w:noProof/>
          </w:rPr>
          <w:t xml:space="preserve">         Figure 2: Répartition de l'échantillon par strate</w:t>
        </w:r>
        <w:r>
          <w:rPr>
            <w:noProof/>
            <w:webHidden/>
          </w:rPr>
          <w:tab/>
        </w:r>
        <w:r>
          <w:rPr>
            <w:noProof/>
            <w:webHidden/>
          </w:rPr>
          <w:fldChar w:fldCharType="begin"/>
        </w:r>
        <w:r>
          <w:rPr>
            <w:noProof/>
            <w:webHidden/>
          </w:rPr>
          <w:instrText xml:space="preserve"> PAGEREF _Toc17840171 \h </w:instrText>
        </w:r>
        <w:r>
          <w:rPr>
            <w:noProof/>
            <w:webHidden/>
          </w:rPr>
        </w:r>
        <w:r>
          <w:rPr>
            <w:noProof/>
            <w:webHidden/>
          </w:rPr>
          <w:fldChar w:fldCharType="separate"/>
        </w:r>
        <w:r>
          <w:rPr>
            <w:noProof/>
            <w:webHidden/>
          </w:rPr>
          <w:t>19</w:t>
        </w:r>
        <w:r>
          <w:rPr>
            <w:noProof/>
            <w:webHidden/>
          </w:rPr>
          <w:fldChar w:fldCharType="end"/>
        </w:r>
      </w:hyperlink>
    </w:p>
    <w:p w14:paraId="465608F3" w14:textId="41DBBD26" w:rsidR="002A0AC7" w:rsidRDefault="008339A9">
      <w:pPr>
        <w:pStyle w:val="Tabledesillustrations"/>
        <w:tabs>
          <w:tab w:val="left" w:pos="2254"/>
          <w:tab w:val="right" w:leader="dot" w:pos="9062"/>
        </w:tabs>
        <w:rPr>
          <w:rFonts w:eastAsiaTheme="minorEastAsia" w:cstheme="minorBidi"/>
          <w:smallCaps w:val="0"/>
          <w:noProof/>
          <w:sz w:val="22"/>
          <w:szCs w:val="22"/>
          <w:lang w:eastAsia="fr-FR"/>
        </w:rPr>
      </w:pPr>
      <w:hyperlink w:anchor="_Toc17840172" w:history="1">
        <w:r w:rsidR="002A0AC7" w:rsidRPr="006A084B">
          <w:rPr>
            <w:rStyle w:val="Lienhypertexte"/>
            <w:noProof/>
          </w:rPr>
          <w:t>Figure 3: Taille du ménage</w:t>
        </w:r>
        <w:r w:rsidR="002A0AC7">
          <w:rPr>
            <w:rFonts w:eastAsiaTheme="minorEastAsia" w:cstheme="minorBidi"/>
            <w:smallCaps w:val="0"/>
            <w:noProof/>
            <w:sz w:val="22"/>
            <w:szCs w:val="22"/>
            <w:lang w:eastAsia="fr-FR"/>
          </w:rPr>
          <w:tab/>
        </w:r>
        <w:r w:rsidR="002A0AC7" w:rsidRPr="006A084B">
          <w:rPr>
            <w:rStyle w:val="Lienhypertexte"/>
            <w:noProof/>
          </w:rPr>
          <w:t xml:space="preserve">    Figure 4: Genre du responsable du bétail</w:t>
        </w:r>
        <w:r w:rsidR="002A0AC7">
          <w:rPr>
            <w:noProof/>
            <w:webHidden/>
          </w:rPr>
          <w:tab/>
        </w:r>
        <w:r w:rsidR="002A0AC7">
          <w:rPr>
            <w:noProof/>
            <w:webHidden/>
          </w:rPr>
          <w:fldChar w:fldCharType="begin"/>
        </w:r>
        <w:r w:rsidR="002A0AC7">
          <w:rPr>
            <w:noProof/>
            <w:webHidden/>
          </w:rPr>
          <w:instrText xml:space="preserve"> PAGEREF _Toc17840172 \h </w:instrText>
        </w:r>
        <w:r w:rsidR="002A0AC7">
          <w:rPr>
            <w:noProof/>
            <w:webHidden/>
          </w:rPr>
        </w:r>
        <w:r w:rsidR="002A0AC7">
          <w:rPr>
            <w:noProof/>
            <w:webHidden/>
          </w:rPr>
          <w:fldChar w:fldCharType="separate"/>
        </w:r>
        <w:r w:rsidR="002A0AC7">
          <w:rPr>
            <w:noProof/>
            <w:webHidden/>
          </w:rPr>
          <w:t>20</w:t>
        </w:r>
        <w:r w:rsidR="002A0AC7">
          <w:rPr>
            <w:noProof/>
            <w:webHidden/>
          </w:rPr>
          <w:fldChar w:fldCharType="end"/>
        </w:r>
      </w:hyperlink>
    </w:p>
    <w:p w14:paraId="6DA220A6" w14:textId="1C2A4DF2" w:rsidR="002A0AC7" w:rsidRDefault="008339A9">
      <w:pPr>
        <w:pStyle w:val="Tabledesillustrations"/>
        <w:tabs>
          <w:tab w:val="left" w:pos="3219"/>
          <w:tab w:val="right" w:leader="dot" w:pos="9062"/>
        </w:tabs>
        <w:rPr>
          <w:rFonts w:eastAsiaTheme="minorEastAsia" w:cstheme="minorBidi"/>
          <w:smallCaps w:val="0"/>
          <w:noProof/>
          <w:sz w:val="22"/>
          <w:szCs w:val="22"/>
          <w:lang w:eastAsia="fr-FR"/>
        </w:rPr>
      </w:pPr>
      <w:hyperlink w:anchor="_Toc17840173" w:history="1">
        <w:r w:rsidR="002A0AC7" w:rsidRPr="006A084B">
          <w:rPr>
            <w:rStyle w:val="Lienhypertexte"/>
            <w:noProof/>
          </w:rPr>
          <w:t>Figure 5: Types de moyens de transport</w:t>
        </w:r>
        <w:r w:rsidR="002A0AC7">
          <w:rPr>
            <w:rFonts w:eastAsiaTheme="minorEastAsia" w:cstheme="minorBidi"/>
            <w:smallCaps w:val="0"/>
            <w:noProof/>
            <w:sz w:val="22"/>
            <w:szCs w:val="22"/>
            <w:lang w:eastAsia="fr-FR"/>
          </w:rPr>
          <w:tab/>
        </w:r>
        <w:r w:rsidR="002A0AC7" w:rsidRPr="006A084B">
          <w:rPr>
            <w:rStyle w:val="Lienhypertexte"/>
            <w:noProof/>
          </w:rPr>
          <w:t xml:space="preserve">  Figure 6: Nombre de moyens de transport</w:t>
        </w:r>
        <w:r w:rsidR="002A0AC7">
          <w:rPr>
            <w:noProof/>
            <w:webHidden/>
          </w:rPr>
          <w:tab/>
        </w:r>
        <w:r w:rsidR="002A0AC7">
          <w:rPr>
            <w:noProof/>
            <w:webHidden/>
          </w:rPr>
          <w:fldChar w:fldCharType="begin"/>
        </w:r>
        <w:r w:rsidR="002A0AC7">
          <w:rPr>
            <w:noProof/>
            <w:webHidden/>
          </w:rPr>
          <w:instrText xml:space="preserve"> PAGEREF _Toc17840173 \h </w:instrText>
        </w:r>
        <w:r w:rsidR="002A0AC7">
          <w:rPr>
            <w:noProof/>
            <w:webHidden/>
          </w:rPr>
        </w:r>
        <w:r w:rsidR="002A0AC7">
          <w:rPr>
            <w:noProof/>
            <w:webHidden/>
          </w:rPr>
          <w:fldChar w:fldCharType="separate"/>
        </w:r>
        <w:r w:rsidR="002A0AC7">
          <w:rPr>
            <w:noProof/>
            <w:webHidden/>
          </w:rPr>
          <w:t>20</w:t>
        </w:r>
        <w:r w:rsidR="002A0AC7">
          <w:rPr>
            <w:noProof/>
            <w:webHidden/>
          </w:rPr>
          <w:fldChar w:fldCharType="end"/>
        </w:r>
      </w:hyperlink>
    </w:p>
    <w:p w14:paraId="7FCB805B" w14:textId="55A8878A" w:rsidR="002A0AC7" w:rsidRDefault="008339A9">
      <w:pPr>
        <w:pStyle w:val="Tabledesillustrations"/>
        <w:tabs>
          <w:tab w:val="left" w:pos="4047"/>
          <w:tab w:val="right" w:leader="dot" w:pos="9062"/>
        </w:tabs>
        <w:rPr>
          <w:rFonts w:eastAsiaTheme="minorEastAsia" w:cstheme="minorBidi"/>
          <w:smallCaps w:val="0"/>
          <w:noProof/>
          <w:sz w:val="22"/>
          <w:szCs w:val="22"/>
          <w:lang w:eastAsia="fr-FR"/>
        </w:rPr>
      </w:pPr>
      <w:hyperlink w:anchor="_Toc17840174" w:history="1">
        <w:r w:rsidR="002A0AC7" w:rsidRPr="006A084B">
          <w:rPr>
            <w:rStyle w:val="Lienhypertexte"/>
            <w:noProof/>
          </w:rPr>
          <w:t>Figure 7: Matériels électroniques dans le ménage</w:t>
        </w:r>
        <w:r w:rsidR="002A0AC7">
          <w:rPr>
            <w:rFonts w:eastAsiaTheme="minorEastAsia" w:cstheme="minorBidi"/>
            <w:smallCaps w:val="0"/>
            <w:noProof/>
            <w:sz w:val="22"/>
            <w:szCs w:val="22"/>
            <w:lang w:eastAsia="fr-FR"/>
          </w:rPr>
          <w:tab/>
        </w:r>
        <w:r w:rsidR="002A0AC7" w:rsidRPr="006A084B">
          <w:rPr>
            <w:rStyle w:val="Lienhypertexte"/>
            <w:noProof/>
          </w:rPr>
          <w:t xml:space="preserve"> Figure 8: Nombre de matériels électronique</w:t>
        </w:r>
        <w:r w:rsidR="002A0AC7">
          <w:rPr>
            <w:noProof/>
            <w:webHidden/>
          </w:rPr>
          <w:tab/>
        </w:r>
        <w:r w:rsidR="002A0AC7">
          <w:rPr>
            <w:noProof/>
            <w:webHidden/>
          </w:rPr>
          <w:fldChar w:fldCharType="begin"/>
        </w:r>
        <w:r w:rsidR="002A0AC7">
          <w:rPr>
            <w:noProof/>
            <w:webHidden/>
          </w:rPr>
          <w:instrText xml:space="preserve"> PAGEREF _Toc17840174 \h </w:instrText>
        </w:r>
        <w:r w:rsidR="002A0AC7">
          <w:rPr>
            <w:noProof/>
            <w:webHidden/>
          </w:rPr>
        </w:r>
        <w:r w:rsidR="002A0AC7">
          <w:rPr>
            <w:noProof/>
            <w:webHidden/>
          </w:rPr>
          <w:fldChar w:fldCharType="separate"/>
        </w:r>
        <w:r w:rsidR="002A0AC7">
          <w:rPr>
            <w:noProof/>
            <w:webHidden/>
          </w:rPr>
          <w:t>21</w:t>
        </w:r>
        <w:r w:rsidR="002A0AC7">
          <w:rPr>
            <w:noProof/>
            <w:webHidden/>
          </w:rPr>
          <w:fldChar w:fldCharType="end"/>
        </w:r>
      </w:hyperlink>
    </w:p>
    <w:p w14:paraId="3D080D3C" w14:textId="497F118A" w:rsidR="002A0AC7" w:rsidRDefault="008339A9">
      <w:pPr>
        <w:pStyle w:val="Tabledesillustrations"/>
        <w:tabs>
          <w:tab w:val="left" w:pos="3274"/>
          <w:tab w:val="right" w:leader="dot" w:pos="9062"/>
        </w:tabs>
        <w:rPr>
          <w:rFonts w:eastAsiaTheme="minorEastAsia" w:cstheme="minorBidi"/>
          <w:smallCaps w:val="0"/>
          <w:noProof/>
          <w:sz w:val="22"/>
          <w:szCs w:val="22"/>
          <w:lang w:eastAsia="fr-FR"/>
        </w:rPr>
      </w:pPr>
      <w:hyperlink w:anchor="_Toc17840175" w:history="1">
        <w:r w:rsidR="002A0AC7" w:rsidRPr="006A084B">
          <w:rPr>
            <w:rStyle w:val="Lienhypertexte"/>
            <w:noProof/>
          </w:rPr>
          <w:t>Figure 9: Source de revenu de l'enquêté</w:t>
        </w:r>
        <w:r w:rsidR="002A0AC7">
          <w:rPr>
            <w:rFonts w:eastAsiaTheme="minorEastAsia" w:cstheme="minorBidi"/>
            <w:smallCaps w:val="0"/>
            <w:noProof/>
            <w:sz w:val="22"/>
            <w:szCs w:val="22"/>
            <w:lang w:eastAsia="fr-FR"/>
          </w:rPr>
          <w:tab/>
        </w:r>
        <w:r w:rsidR="002A0AC7" w:rsidRPr="006A084B">
          <w:rPr>
            <w:rStyle w:val="Lienhypertexte"/>
            <w:noProof/>
          </w:rPr>
          <w:t xml:space="preserve">  Figure 10: Nombre de sources de revenu</w:t>
        </w:r>
        <w:r w:rsidR="002A0AC7">
          <w:rPr>
            <w:noProof/>
            <w:webHidden/>
          </w:rPr>
          <w:tab/>
        </w:r>
        <w:r w:rsidR="002A0AC7">
          <w:rPr>
            <w:noProof/>
            <w:webHidden/>
          </w:rPr>
          <w:fldChar w:fldCharType="begin"/>
        </w:r>
        <w:r w:rsidR="002A0AC7">
          <w:rPr>
            <w:noProof/>
            <w:webHidden/>
          </w:rPr>
          <w:instrText xml:space="preserve"> PAGEREF _Toc17840175 \h </w:instrText>
        </w:r>
        <w:r w:rsidR="002A0AC7">
          <w:rPr>
            <w:noProof/>
            <w:webHidden/>
          </w:rPr>
        </w:r>
        <w:r w:rsidR="002A0AC7">
          <w:rPr>
            <w:noProof/>
            <w:webHidden/>
          </w:rPr>
          <w:fldChar w:fldCharType="separate"/>
        </w:r>
        <w:r w:rsidR="002A0AC7">
          <w:rPr>
            <w:noProof/>
            <w:webHidden/>
          </w:rPr>
          <w:t>21</w:t>
        </w:r>
        <w:r w:rsidR="002A0AC7">
          <w:rPr>
            <w:noProof/>
            <w:webHidden/>
          </w:rPr>
          <w:fldChar w:fldCharType="end"/>
        </w:r>
      </w:hyperlink>
    </w:p>
    <w:p w14:paraId="78F0791B" w14:textId="48724574" w:rsidR="002A0AC7" w:rsidRDefault="008339A9">
      <w:pPr>
        <w:pStyle w:val="Tabledesillustrations"/>
        <w:tabs>
          <w:tab w:val="left" w:pos="2819"/>
          <w:tab w:val="right" w:leader="dot" w:pos="9062"/>
        </w:tabs>
        <w:rPr>
          <w:rFonts w:eastAsiaTheme="minorEastAsia" w:cstheme="minorBidi"/>
          <w:smallCaps w:val="0"/>
          <w:noProof/>
          <w:sz w:val="22"/>
          <w:szCs w:val="22"/>
          <w:lang w:eastAsia="fr-FR"/>
        </w:rPr>
      </w:pPr>
      <w:hyperlink w:anchor="_Toc17840176" w:history="1">
        <w:r w:rsidR="002A0AC7" w:rsidRPr="006A084B">
          <w:rPr>
            <w:rStyle w:val="Lienhypertexte"/>
            <w:noProof/>
          </w:rPr>
          <w:t>Figure 11:   Chocs financiers subis</w:t>
        </w:r>
        <w:r w:rsidR="002A0AC7">
          <w:rPr>
            <w:rFonts w:eastAsiaTheme="minorEastAsia" w:cstheme="minorBidi"/>
            <w:smallCaps w:val="0"/>
            <w:noProof/>
            <w:sz w:val="22"/>
            <w:szCs w:val="22"/>
            <w:lang w:eastAsia="fr-FR"/>
          </w:rPr>
          <w:tab/>
        </w:r>
        <w:r w:rsidR="002A0AC7" w:rsidRPr="006A084B">
          <w:rPr>
            <w:rStyle w:val="Lienhypertexte"/>
            <w:noProof/>
          </w:rPr>
          <w:t xml:space="preserve">   Figure 12:Nombre de chocs financiers</w:t>
        </w:r>
        <w:r w:rsidR="002A0AC7">
          <w:rPr>
            <w:noProof/>
            <w:webHidden/>
          </w:rPr>
          <w:tab/>
        </w:r>
        <w:r w:rsidR="002A0AC7">
          <w:rPr>
            <w:noProof/>
            <w:webHidden/>
          </w:rPr>
          <w:fldChar w:fldCharType="begin"/>
        </w:r>
        <w:r w:rsidR="002A0AC7">
          <w:rPr>
            <w:noProof/>
            <w:webHidden/>
          </w:rPr>
          <w:instrText xml:space="preserve"> PAGEREF _Toc17840176 \h </w:instrText>
        </w:r>
        <w:r w:rsidR="002A0AC7">
          <w:rPr>
            <w:noProof/>
            <w:webHidden/>
          </w:rPr>
        </w:r>
        <w:r w:rsidR="002A0AC7">
          <w:rPr>
            <w:noProof/>
            <w:webHidden/>
          </w:rPr>
          <w:fldChar w:fldCharType="separate"/>
        </w:r>
        <w:r w:rsidR="002A0AC7">
          <w:rPr>
            <w:noProof/>
            <w:webHidden/>
          </w:rPr>
          <w:t>22</w:t>
        </w:r>
        <w:r w:rsidR="002A0AC7">
          <w:rPr>
            <w:noProof/>
            <w:webHidden/>
          </w:rPr>
          <w:fldChar w:fldCharType="end"/>
        </w:r>
      </w:hyperlink>
    </w:p>
    <w:p w14:paraId="3C62F77F" w14:textId="477BD42B" w:rsidR="002A0AC7" w:rsidRDefault="008339A9">
      <w:pPr>
        <w:pStyle w:val="Tabledesillustrations"/>
        <w:tabs>
          <w:tab w:val="left" w:pos="3096"/>
          <w:tab w:val="right" w:leader="dot" w:pos="9062"/>
        </w:tabs>
        <w:rPr>
          <w:rFonts w:eastAsiaTheme="minorEastAsia" w:cstheme="minorBidi"/>
          <w:smallCaps w:val="0"/>
          <w:noProof/>
          <w:sz w:val="22"/>
          <w:szCs w:val="22"/>
          <w:lang w:eastAsia="fr-FR"/>
        </w:rPr>
      </w:pPr>
      <w:hyperlink w:anchor="_Toc17840177" w:history="1">
        <w:r w:rsidR="002A0AC7" w:rsidRPr="006A084B">
          <w:rPr>
            <w:rStyle w:val="Lienhypertexte"/>
            <w:noProof/>
          </w:rPr>
          <w:t>Figure 13: Chocs non financiers subis</w:t>
        </w:r>
        <w:r w:rsidR="002A0AC7">
          <w:rPr>
            <w:rFonts w:eastAsiaTheme="minorEastAsia" w:cstheme="minorBidi"/>
            <w:smallCaps w:val="0"/>
            <w:noProof/>
            <w:sz w:val="22"/>
            <w:szCs w:val="22"/>
            <w:lang w:eastAsia="fr-FR"/>
          </w:rPr>
          <w:tab/>
        </w:r>
        <w:r w:rsidR="002A0AC7" w:rsidRPr="006A084B">
          <w:rPr>
            <w:rStyle w:val="Lienhypertexte"/>
            <w:noProof/>
          </w:rPr>
          <w:t xml:space="preserve">   Figure 14: Nombre de chocs non financiers subis</w:t>
        </w:r>
        <w:r w:rsidR="002A0AC7">
          <w:rPr>
            <w:noProof/>
            <w:webHidden/>
          </w:rPr>
          <w:tab/>
        </w:r>
        <w:r w:rsidR="002A0AC7">
          <w:rPr>
            <w:noProof/>
            <w:webHidden/>
          </w:rPr>
          <w:fldChar w:fldCharType="begin"/>
        </w:r>
        <w:r w:rsidR="002A0AC7">
          <w:rPr>
            <w:noProof/>
            <w:webHidden/>
          </w:rPr>
          <w:instrText xml:space="preserve"> PAGEREF _Toc17840177 \h </w:instrText>
        </w:r>
        <w:r w:rsidR="002A0AC7">
          <w:rPr>
            <w:noProof/>
            <w:webHidden/>
          </w:rPr>
        </w:r>
        <w:r w:rsidR="002A0AC7">
          <w:rPr>
            <w:noProof/>
            <w:webHidden/>
          </w:rPr>
          <w:fldChar w:fldCharType="separate"/>
        </w:r>
        <w:r w:rsidR="002A0AC7">
          <w:rPr>
            <w:noProof/>
            <w:webHidden/>
          </w:rPr>
          <w:t>23</w:t>
        </w:r>
        <w:r w:rsidR="002A0AC7">
          <w:rPr>
            <w:noProof/>
            <w:webHidden/>
          </w:rPr>
          <w:fldChar w:fldCharType="end"/>
        </w:r>
      </w:hyperlink>
    </w:p>
    <w:p w14:paraId="3BBD9230" w14:textId="708F2ED5" w:rsidR="002A0AC7" w:rsidRDefault="008339A9">
      <w:pPr>
        <w:pStyle w:val="Tabledesillustrations"/>
        <w:tabs>
          <w:tab w:val="left" w:pos="3841"/>
          <w:tab w:val="right" w:leader="dot" w:pos="9062"/>
        </w:tabs>
        <w:rPr>
          <w:rFonts w:eastAsiaTheme="minorEastAsia" w:cstheme="minorBidi"/>
          <w:smallCaps w:val="0"/>
          <w:noProof/>
          <w:sz w:val="22"/>
          <w:szCs w:val="22"/>
          <w:lang w:eastAsia="fr-FR"/>
        </w:rPr>
      </w:pPr>
      <w:hyperlink w:anchor="_Toc17840178" w:history="1">
        <w:r w:rsidR="002A0AC7" w:rsidRPr="006A084B">
          <w:rPr>
            <w:rStyle w:val="Lienhypertexte"/>
            <w:noProof/>
          </w:rPr>
          <w:t>Figure 15: Stratégies d'adaptation développées</w:t>
        </w:r>
        <w:r w:rsidR="002A0AC7">
          <w:rPr>
            <w:rFonts w:eastAsiaTheme="minorEastAsia" w:cstheme="minorBidi"/>
            <w:smallCaps w:val="0"/>
            <w:noProof/>
            <w:sz w:val="22"/>
            <w:szCs w:val="22"/>
            <w:lang w:eastAsia="fr-FR"/>
          </w:rPr>
          <w:tab/>
        </w:r>
        <w:r w:rsidR="002A0AC7" w:rsidRPr="006A084B">
          <w:rPr>
            <w:rStyle w:val="Lienhypertexte"/>
            <w:noProof/>
          </w:rPr>
          <w:t xml:space="preserve">  Figure 16: Nombre de stratégies développées</w:t>
        </w:r>
        <w:r w:rsidR="002A0AC7">
          <w:rPr>
            <w:noProof/>
            <w:webHidden/>
          </w:rPr>
          <w:tab/>
        </w:r>
        <w:r w:rsidR="002A0AC7">
          <w:rPr>
            <w:noProof/>
            <w:webHidden/>
          </w:rPr>
          <w:fldChar w:fldCharType="begin"/>
        </w:r>
        <w:r w:rsidR="002A0AC7">
          <w:rPr>
            <w:noProof/>
            <w:webHidden/>
          </w:rPr>
          <w:instrText xml:space="preserve"> PAGEREF _Toc17840178 \h </w:instrText>
        </w:r>
        <w:r w:rsidR="002A0AC7">
          <w:rPr>
            <w:noProof/>
            <w:webHidden/>
          </w:rPr>
        </w:r>
        <w:r w:rsidR="002A0AC7">
          <w:rPr>
            <w:noProof/>
            <w:webHidden/>
          </w:rPr>
          <w:fldChar w:fldCharType="separate"/>
        </w:r>
        <w:r w:rsidR="002A0AC7">
          <w:rPr>
            <w:noProof/>
            <w:webHidden/>
          </w:rPr>
          <w:t>24</w:t>
        </w:r>
        <w:r w:rsidR="002A0AC7">
          <w:rPr>
            <w:noProof/>
            <w:webHidden/>
          </w:rPr>
          <w:fldChar w:fldCharType="end"/>
        </w:r>
      </w:hyperlink>
    </w:p>
    <w:p w14:paraId="729E071D" w14:textId="30C48B46" w:rsidR="002A0AC7" w:rsidRDefault="008339A9">
      <w:pPr>
        <w:pStyle w:val="Tabledesillustrations"/>
        <w:tabs>
          <w:tab w:val="left" w:pos="2423"/>
          <w:tab w:val="right" w:leader="dot" w:pos="9062"/>
        </w:tabs>
        <w:rPr>
          <w:rFonts w:eastAsiaTheme="minorEastAsia" w:cstheme="minorBidi"/>
          <w:smallCaps w:val="0"/>
          <w:noProof/>
          <w:sz w:val="22"/>
          <w:szCs w:val="22"/>
          <w:lang w:eastAsia="fr-FR"/>
        </w:rPr>
      </w:pPr>
      <w:hyperlink w:anchor="_Toc17840179" w:history="1">
        <w:r w:rsidR="002A0AC7" w:rsidRPr="006A084B">
          <w:rPr>
            <w:rStyle w:val="Lienhypertexte"/>
            <w:noProof/>
          </w:rPr>
          <w:t>Figure 17: Nombre de bovins</w:t>
        </w:r>
        <w:r w:rsidR="002A0AC7">
          <w:rPr>
            <w:rFonts w:eastAsiaTheme="minorEastAsia" w:cstheme="minorBidi"/>
            <w:smallCaps w:val="0"/>
            <w:noProof/>
            <w:sz w:val="22"/>
            <w:szCs w:val="22"/>
            <w:lang w:eastAsia="fr-FR"/>
          </w:rPr>
          <w:tab/>
        </w:r>
        <w:r w:rsidR="002A0AC7" w:rsidRPr="006A084B">
          <w:rPr>
            <w:rStyle w:val="Lienhypertexte"/>
            <w:noProof/>
          </w:rPr>
          <w:t xml:space="preserve">    Figure 18: Nombre d'ovins</w:t>
        </w:r>
        <w:r w:rsidR="002A0AC7">
          <w:rPr>
            <w:noProof/>
            <w:webHidden/>
          </w:rPr>
          <w:tab/>
        </w:r>
        <w:r w:rsidR="002A0AC7">
          <w:rPr>
            <w:noProof/>
            <w:webHidden/>
          </w:rPr>
          <w:fldChar w:fldCharType="begin"/>
        </w:r>
        <w:r w:rsidR="002A0AC7">
          <w:rPr>
            <w:noProof/>
            <w:webHidden/>
          </w:rPr>
          <w:instrText xml:space="preserve"> PAGEREF _Toc17840179 \h </w:instrText>
        </w:r>
        <w:r w:rsidR="002A0AC7">
          <w:rPr>
            <w:noProof/>
            <w:webHidden/>
          </w:rPr>
        </w:r>
        <w:r w:rsidR="002A0AC7">
          <w:rPr>
            <w:noProof/>
            <w:webHidden/>
          </w:rPr>
          <w:fldChar w:fldCharType="separate"/>
        </w:r>
        <w:r w:rsidR="002A0AC7">
          <w:rPr>
            <w:noProof/>
            <w:webHidden/>
          </w:rPr>
          <w:t>25</w:t>
        </w:r>
        <w:r w:rsidR="002A0AC7">
          <w:rPr>
            <w:noProof/>
            <w:webHidden/>
          </w:rPr>
          <w:fldChar w:fldCharType="end"/>
        </w:r>
      </w:hyperlink>
    </w:p>
    <w:p w14:paraId="3383CEE9" w14:textId="4D9C0B1D" w:rsidR="002A0AC7" w:rsidRDefault="008339A9">
      <w:pPr>
        <w:pStyle w:val="Tabledesillustrations"/>
        <w:tabs>
          <w:tab w:val="right" w:leader="dot" w:pos="9062"/>
        </w:tabs>
        <w:rPr>
          <w:rFonts w:eastAsiaTheme="minorEastAsia" w:cstheme="minorBidi"/>
          <w:smallCaps w:val="0"/>
          <w:noProof/>
          <w:sz w:val="22"/>
          <w:szCs w:val="22"/>
          <w:lang w:eastAsia="fr-FR"/>
        </w:rPr>
      </w:pPr>
      <w:hyperlink w:anchor="_Toc17840180" w:history="1">
        <w:r w:rsidR="002A0AC7" w:rsidRPr="006A084B">
          <w:rPr>
            <w:rStyle w:val="Lienhypertexte"/>
            <w:noProof/>
          </w:rPr>
          <w:t>Figure 19: Nombre de caprins</w:t>
        </w:r>
        <w:r w:rsidR="002A0AC7">
          <w:rPr>
            <w:noProof/>
            <w:webHidden/>
          </w:rPr>
          <w:tab/>
        </w:r>
        <w:r w:rsidR="002A0AC7">
          <w:rPr>
            <w:noProof/>
            <w:webHidden/>
          </w:rPr>
          <w:fldChar w:fldCharType="begin"/>
        </w:r>
        <w:r w:rsidR="002A0AC7">
          <w:rPr>
            <w:noProof/>
            <w:webHidden/>
          </w:rPr>
          <w:instrText xml:space="preserve"> PAGEREF _Toc17840180 \h </w:instrText>
        </w:r>
        <w:r w:rsidR="002A0AC7">
          <w:rPr>
            <w:noProof/>
            <w:webHidden/>
          </w:rPr>
        </w:r>
        <w:r w:rsidR="002A0AC7">
          <w:rPr>
            <w:noProof/>
            <w:webHidden/>
          </w:rPr>
          <w:fldChar w:fldCharType="separate"/>
        </w:r>
        <w:r w:rsidR="002A0AC7">
          <w:rPr>
            <w:noProof/>
            <w:webHidden/>
          </w:rPr>
          <w:t>25</w:t>
        </w:r>
        <w:r w:rsidR="002A0AC7">
          <w:rPr>
            <w:noProof/>
            <w:webHidden/>
          </w:rPr>
          <w:fldChar w:fldCharType="end"/>
        </w:r>
      </w:hyperlink>
    </w:p>
    <w:p w14:paraId="62A57F5C" w14:textId="5FA3741B" w:rsidR="002A0AC7" w:rsidRDefault="008339A9">
      <w:pPr>
        <w:pStyle w:val="Tabledesillustrations"/>
        <w:tabs>
          <w:tab w:val="right" w:leader="dot" w:pos="9062"/>
        </w:tabs>
        <w:rPr>
          <w:rFonts w:eastAsiaTheme="minorEastAsia" w:cstheme="minorBidi"/>
          <w:smallCaps w:val="0"/>
          <w:noProof/>
          <w:sz w:val="22"/>
          <w:szCs w:val="22"/>
          <w:lang w:eastAsia="fr-FR"/>
        </w:rPr>
      </w:pPr>
      <w:hyperlink w:anchor="_Toc17840181" w:history="1">
        <w:r w:rsidR="002A0AC7" w:rsidRPr="006A084B">
          <w:rPr>
            <w:rStyle w:val="Lienhypertexte"/>
            <w:noProof/>
          </w:rPr>
          <w:t>Figure 20: Investissement dans l'élevage pastoral et agro-pastoral</w:t>
        </w:r>
        <w:r w:rsidR="002A0AC7">
          <w:rPr>
            <w:noProof/>
            <w:webHidden/>
          </w:rPr>
          <w:tab/>
        </w:r>
        <w:r w:rsidR="002A0AC7">
          <w:rPr>
            <w:noProof/>
            <w:webHidden/>
          </w:rPr>
          <w:fldChar w:fldCharType="begin"/>
        </w:r>
        <w:r w:rsidR="002A0AC7">
          <w:rPr>
            <w:noProof/>
            <w:webHidden/>
          </w:rPr>
          <w:instrText xml:space="preserve"> PAGEREF _Toc17840181 \h </w:instrText>
        </w:r>
        <w:r w:rsidR="002A0AC7">
          <w:rPr>
            <w:noProof/>
            <w:webHidden/>
          </w:rPr>
        </w:r>
        <w:r w:rsidR="002A0AC7">
          <w:rPr>
            <w:noProof/>
            <w:webHidden/>
          </w:rPr>
          <w:fldChar w:fldCharType="separate"/>
        </w:r>
        <w:r w:rsidR="002A0AC7">
          <w:rPr>
            <w:noProof/>
            <w:webHidden/>
          </w:rPr>
          <w:t>26</w:t>
        </w:r>
        <w:r w:rsidR="002A0AC7">
          <w:rPr>
            <w:noProof/>
            <w:webHidden/>
          </w:rPr>
          <w:fldChar w:fldCharType="end"/>
        </w:r>
      </w:hyperlink>
    </w:p>
    <w:p w14:paraId="0213C78A" w14:textId="4D2066FA" w:rsidR="002A0AC7" w:rsidRDefault="008339A9">
      <w:pPr>
        <w:pStyle w:val="Tabledesillustrations"/>
        <w:tabs>
          <w:tab w:val="right" w:leader="dot" w:pos="9062"/>
        </w:tabs>
        <w:rPr>
          <w:rFonts w:eastAsiaTheme="minorEastAsia" w:cstheme="minorBidi"/>
          <w:smallCaps w:val="0"/>
          <w:noProof/>
          <w:sz w:val="22"/>
          <w:szCs w:val="22"/>
          <w:lang w:eastAsia="fr-FR"/>
        </w:rPr>
      </w:pPr>
      <w:hyperlink w:anchor="_Toc17840182" w:history="1">
        <w:r w:rsidR="002A0AC7" w:rsidRPr="006A084B">
          <w:rPr>
            <w:rStyle w:val="Lienhypertexte"/>
            <w:noProof/>
          </w:rPr>
          <w:t>Figure 21: Revenu tiré de l'élevage pastoral et agropastoral</w:t>
        </w:r>
        <w:r w:rsidR="002A0AC7">
          <w:rPr>
            <w:noProof/>
            <w:webHidden/>
          </w:rPr>
          <w:tab/>
        </w:r>
        <w:r w:rsidR="002A0AC7">
          <w:rPr>
            <w:noProof/>
            <w:webHidden/>
          </w:rPr>
          <w:fldChar w:fldCharType="begin"/>
        </w:r>
        <w:r w:rsidR="002A0AC7">
          <w:rPr>
            <w:noProof/>
            <w:webHidden/>
          </w:rPr>
          <w:instrText xml:space="preserve"> PAGEREF _Toc17840182 \h </w:instrText>
        </w:r>
        <w:r w:rsidR="002A0AC7">
          <w:rPr>
            <w:noProof/>
            <w:webHidden/>
          </w:rPr>
        </w:r>
        <w:r w:rsidR="002A0AC7">
          <w:rPr>
            <w:noProof/>
            <w:webHidden/>
          </w:rPr>
          <w:fldChar w:fldCharType="separate"/>
        </w:r>
        <w:r w:rsidR="002A0AC7">
          <w:rPr>
            <w:noProof/>
            <w:webHidden/>
          </w:rPr>
          <w:t>26</w:t>
        </w:r>
        <w:r w:rsidR="002A0AC7">
          <w:rPr>
            <w:noProof/>
            <w:webHidden/>
          </w:rPr>
          <w:fldChar w:fldCharType="end"/>
        </w:r>
      </w:hyperlink>
    </w:p>
    <w:p w14:paraId="4BDAA7D0" w14:textId="33741740" w:rsidR="002A0AC7" w:rsidRDefault="008339A9">
      <w:pPr>
        <w:pStyle w:val="Tabledesillustrations"/>
        <w:tabs>
          <w:tab w:val="right" w:leader="dot" w:pos="9062"/>
        </w:tabs>
        <w:rPr>
          <w:rFonts w:eastAsiaTheme="minorEastAsia" w:cstheme="minorBidi"/>
          <w:smallCaps w:val="0"/>
          <w:noProof/>
          <w:sz w:val="22"/>
          <w:szCs w:val="22"/>
          <w:lang w:eastAsia="fr-FR"/>
        </w:rPr>
      </w:pPr>
      <w:hyperlink w:anchor="_Toc17840183" w:history="1">
        <w:r w:rsidR="002A0AC7" w:rsidRPr="006A084B">
          <w:rPr>
            <w:rStyle w:val="Lienhypertexte"/>
            <w:noProof/>
          </w:rPr>
          <w:t>Figure 22: Moyenne des investissements et revenu par type d'animal</w:t>
        </w:r>
        <w:r w:rsidR="002A0AC7">
          <w:rPr>
            <w:noProof/>
            <w:webHidden/>
          </w:rPr>
          <w:tab/>
        </w:r>
        <w:r w:rsidR="002A0AC7">
          <w:rPr>
            <w:noProof/>
            <w:webHidden/>
          </w:rPr>
          <w:fldChar w:fldCharType="begin"/>
        </w:r>
        <w:r w:rsidR="002A0AC7">
          <w:rPr>
            <w:noProof/>
            <w:webHidden/>
          </w:rPr>
          <w:instrText xml:space="preserve"> PAGEREF _Toc17840183 \h </w:instrText>
        </w:r>
        <w:r w:rsidR="002A0AC7">
          <w:rPr>
            <w:noProof/>
            <w:webHidden/>
          </w:rPr>
        </w:r>
        <w:r w:rsidR="002A0AC7">
          <w:rPr>
            <w:noProof/>
            <w:webHidden/>
          </w:rPr>
          <w:fldChar w:fldCharType="separate"/>
        </w:r>
        <w:r w:rsidR="002A0AC7">
          <w:rPr>
            <w:noProof/>
            <w:webHidden/>
          </w:rPr>
          <w:t>27</w:t>
        </w:r>
        <w:r w:rsidR="002A0AC7">
          <w:rPr>
            <w:noProof/>
            <w:webHidden/>
          </w:rPr>
          <w:fldChar w:fldCharType="end"/>
        </w:r>
      </w:hyperlink>
    </w:p>
    <w:p w14:paraId="1E64B6A0" w14:textId="5FCA31F8" w:rsidR="002A0AC7" w:rsidRDefault="008339A9">
      <w:pPr>
        <w:pStyle w:val="Tabledesillustrations"/>
        <w:tabs>
          <w:tab w:val="left" w:pos="4117"/>
          <w:tab w:val="right" w:leader="dot" w:pos="9062"/>
        </w:tabs>
        <w:rPr>
          <w:rFonts w:eastAsiaTheme="minorEastAsia" w:cstheme="minorBidi"/>
          <w:smallCaps w:val="0"/>
          <w:noProof/>
          <w:sz w:val="22"/>
          <w:szCs w:val="22"/>
          <w:lang w:eastAsia="fr-FR"/>
        </w:rPr>
      </w:pPr>
      <w:hyperlink w:anchor="_Toc17840184" w:history="1">
        <w:r w:rsidR="002A0AC7" w:rsidRPr="006A084B">
          <w:rPr>
            <w:rStyle w:val="Lienhypertexte"/>
            <w:noProof/>
          </w:rPr>
          <w:t xml:space="preserve">Figure 23:Connaissance de l'assurance en général </w:t>
        </w:r>
        <w:r w:rsidR="002A0AC7">
          <w:rPr>
            <w:rFonts w:eastAsiaTheme="minorEastAsia" w:cstheme="minorBidi"/>
            <w:smallCaps w:val="0"/>
            <w:noProof/>
            <w:sz w:val="22"/>
            <w:szCs w:val="22"/>
            <w:lang w:eastAsia="fr-FR"/>
          </w:rPr>
          <w:tab/>
        </w:r>
        <w:r w:rsidR="002A0AC7" w:rsidRPr="006A084B">
          <w:rPr>
            <w:rStyle w:val="Lienhypertexte"/>
            <w:noProof/>
          </w:rPr>
          <w:t xml:space="preserve"> Figure 24: Connaissance de l'assurance par type</w:t>
        </w:r>
        <w:r w:rsidR="002A0AC7">
          <w:rPr>
            <w:noProof/>
            <w:webHidden/>
          </w:rPr>
          <w:tab/>
        </w:r>
        <w:r w:rsidR="002A0AC7">
          <w:rPr>
            <w:noProof/>
            <w:webHidden/>
          </w:rPr>
          <w:fldChar w:fldCharType="begin"/>
        </w:r>
        <w:r w:rsidR="002A0AC7">
          <w:rPr>
            <w:noProof/>
            <w:webHidden/>
          </w:rPr>
          <w:instrText xml:space="preserve"> PAGEREF _Toc17840184 \h </w:instrText>
        </w:r>
        <w:r w:rsidR="002A0AC7">
          <w:rPr>
            <w:noProof/>
            <w:webHidden/>
          </w:rPr>
        </w:r>
        <w:r w:rsidR="002A0AC7">
          <w:rPr>
            <w:noProof/>
            <w:webHidden/>
          </w:rPr>
          <w:fldChar w:fldCharType="separate"/>
        </w:r>
        <w:r w:rsidR="002A0AC7">
          <w:rPr>
            <w:noProof/>
            <w:webHidden/>
          </w:rPr>
          <w:t>27</w:t>
        </w:r>
        <w:r w:rsidR="002A0AC7">
          <w:rPr>
            <w:noProof/>
            <w:webHidden/>
          </w:rPr>
          <w:fldChar w:fldCharType="end"/>
        </w:r>
      </w:hyperlink>
    </w:p>
    <w:p w14:paraId="18BEDD5D" w14:textId="2C6CB2D8" w:rsidR="002A0AC7" w:rsidRDefault="008339A9">
      <w:pPr>
        <w:pStyle w:val="Tabledesillustrations"/>
        <w:tabs>
          <w:tab w:val="left" w:pos="4008"/>
          <w:tab w:val="right" w:leader="dot" w:pos="9062"/>
        </w:tabs>
        <w:rPr>
          <w:rFonts w:eastAsiaTheme="minorEastAsia" w:cstheme="minorBidi"/>
          <w:smallCaps w:val="0"/>
          <w:noProof/>
          <w:sz w:val="22"/>
          <w:szCs w:val="22"/>
          <w:lang w:eastAsia="fr-FR"/>
        </w:rPr>
      </w:pPr>
      <w:hyperlink w:anchor="_Toc17840185" w:history="1">
        <w:r w:rsidR="002A0AC7" w:rsidRPr="006A084B">
          <w:rPr>
            <w:rStyle w:val="Lienhypertexte"/>
            <w:noProof/>
          </w:rPr>
          <w:t xml:space="preserve">Figure 25: Souscription à l'assurance en général </w:t>
        </w:r>
        <w:r w:rsidR="002A0AC7">
          <w:rPr>
            <w:rFonts w:eastAsiaTheme="minorEastAsia" w:cstheme="minorBidi"/>
            <w:smallCaps w:val="0"/>
            <w:noProof/>
            <w:sz w:val="22"/>
            <w:szCs w:val="22"/>
            <w:lang w:eastAsia="fr-FR"/>
          </w:rPr>
          <w:tab/>
        </w:r>
        <w:r w:rsidR="002A0AC7" w:rsidRPr="006A084B">
          <w:rPr>
            <w:rStyle w:val="Lienhypertexte"/>
            <w:noProof/>
          </w:rPr>
          <w:t xml:space="preserve">   Figure 26: Raison du non achat de l'assurance bétail</w:t>
        </w:r>
        <w:r w:rsidR="002A0AC7">
          <w:rPr>
            <w:noProof/>
            <w:webHidden/>
          </w:rPr>
          <w:tab/>
        </w:r>
        <w:r w:rsidR="002A0AC7">
          <w:rPr>
            <w:noProof/>
            <w:webHidden/>
          </w:rPr>
          <w:fldChar w:fldCharType="begin"/>
        </w:r>
        <w:r w:rsidR="002A0AC7">
          <w:rPr>
            <w:noProof/>
            <w:webHidden/>
          </w:rPr>
          <w:instrText xml:space="preserve"> PAGEREF _Toc17840185 \h </w:instrText>
        </w:r>
        <w:r w:rsidR="002A0AC7">
          <w:rPr>
            <w:noProof/>
            <w:webHidden/>
          </w:rPr>
        </w:r>
        <w:r w:rsidR="002A0AC7">
          <w:rPr>
            <w:noProof/>
            <w:webHidden/>
          </w:rPr>
          <w:fldChar w:fldCharType="separate"/>
        </w:r>
        <w:r w:rsidR="002A0AC7">
          <w:rPr>
            <w:noProof/>
            <w:webHidden/>
          </w:rPr>
          <w:t>28</w:t>
        </w:r>
        <w:r w:rsidR="002A0AC7">
          <w:rPr>
            <w:noProof/>
            <w:webHidden/>
          </w:rPr>
          <w:fldChar w:fldCharType="end"/>
        </w:r>
      </w:hyperlink>
    </w:p>
    <w:p w14:paraId="6D3EE5F7" w14:textId="168F26BB" w:rsidR="002A0AC7" w:rsidRDefault="008339A9">
      <w:pPr>
        <w:pStyle w:val="Tabledesillustrations"/>
        <w:tabs>
          <w:tab w:val="left" w:pos="4561"/>
          <w:tab w:val="right" w:leader="dot" w:pos="9062"/>
        </w:tabs>
        <w:rPr>
          <w:rFonts w:eastAsiaTheme="minorEastAsia" w:cstheme="minorBidi"/>
          <w:smallCaps w:val="0"/>
          <w:noProof/>
          <w:sz w:val="22"/>
          <w:szCs w:val="22"/>
          <w:lang w:eastAsia="fr-FR"/>
        </w:rPr>
      </w:pPr>
      <w:hyperlink w:anchor="_Toc17840186" w:history="1">
        <w:r w:rsidR="002A0AC7" w:rsidRPr="006A084B">
          <w:rPr>
            <w:rStyle w:val="Lienhypertexte"/>
            <w:noProof/>
          </w:rPr>
          <w:t xml:space="preserve">Figure 27: Niveau de confiance à l'assurance en général </w:t>
        </w:r>
        <w:r w:rsidR="002A0AC7">
          <w:rPr>
            <w:rFonts w:eastAsiaTheme="minorEastAsia" w:cstheme="minorBidi"/>
            <w:smallCaps w:val="0"/>
            <w:noProof/>
            <w:sz w:val="22"/>
            <w:szCs w:val="22"/>
            <w:lang w:eastAsia="fr-FR"/>
          </w:rPr>
          <w:tab/>
        </w:r>
        <w:r w:rsidR="002A0AC7" w:rsidRPr="006A084B">
          <w:rPr>
            <w:rStyle w:val="Lienhypertexte"/>
            <w:noProof/>
          </w:rPr>
          <w:t xml:space="preserve">          Figure 28: Appréciation de l'assurance bétail (class vs ind)</w:t>
        </w:r>
        <w:r w:rsidR="002A0AC7">
          <w:rPr>
            <w:noProof/>
            <w:webHidden/>
          </w:rPr>
          <w:tab/>
        </w:r>
        <w:r w:rsidR="002A0AC7">
          <w:rPr>
            <w:noProof/>
            <w:webHidden/>
          </w:rPr>
          <w:fldChar w:fldCharType="begin"/>
        </w:r>
        <w:r w:rsidR="002A0AC7">
          <w:rPr>
            <w:noProof/>
            <w:webHidden/>
          </w:rPr>
          <w:instrText xml:space="preserve"> PAGEREF _Toc17840186 \h </w:instrText>
        </w:r>
        <w:r w:rsidR="002A0AC7">
          <w:rPr>
            <w:noProof/>
            <w:webHidden/>
          </w:rPr>
        </w:r>
        <w:r w:rsidR="002A0AC7">
          <w:rPr>
            <w:noProof/>
            <w:webHidden/>
          </w:rPr>
          <w:fldChar w:fldCharType="separate"/>
        </w:r>
        <w:r w:rsidR="002A0AC7">
          <w:rPr>
            <w:noProof/>
            <w:webHidden/>
          </w:rPr>
          <w:t>29</w:t>
        </w:r>
        <w:r w:rsidR="002A0AC7">
          <w:rPr>
            <w:noProof/>
            <w:webHidden/>
          </w:rPr>
          <w:fldChar w:fldCharType="end"/>
        </w:r>
      </w:hyperlink>
    </w:p>
    <w:p w14:paraId="210922E1" w14:textId="08245B8F" w:rsidR="002A0AC7" w:rsidRDefault="008339A9">
      <w:pPr>
        <w:pStyle w:val="Tabledesillustrations"/>
        <w:tabs>
          <w:tab w:val="right" w:leader="dot" w:pos="9062"/>
        </w:tabs>
        <w:rPr>
          <w:rFonts w:eastAsiaTheme="minorEastAsia" w:cstheme="minorBidi"/>
          <w:smallCaps w:val="0"/>
          <w:noProof/>
          <w:sz w:val="22"/>
          <w:szCs w:val="22"/>
          <w:lang w:eastAsia="fr-FR"/>
        </w:rPr>
      </w:pPr>
      <w:hyperlink w:anchor="_Toc17840187" w:history="1">
        <w:r w:rsidR="002A0AC7" w:rsidRPr="006A084B">
          <w:rPr>
            <w:rStyle w:val="Lienhypertexte"/>
            <w:noProof/>
          </w:rPr>
          <w:t>Figure 29:Préférence entre l'assurance classique et indicielle bétail</w:t>
        </w:r>
        <w:r w:rsidR="002A0AC7">
          <w:rPr>
            <w:noProof/>
            <w:webHidden/>
          </w:rPr>
          <w:tab/>
        </w:r>
        <w:r w:rsidR="002A0AC7">
          <w:rPr>
            <w:noProof/>
            <w:webHidden/>
          </w:rPr>
          <w:fldChar w:fldCharType="begin"/>
        </w:r>
        <w:r w:rsidR="002A0AC7">
          <w:rPr>
            <w:noProof/>
            <w:webHidden/>
          </w:rPr>
          <w:instrText xml:space="preserve"> PAGEREF _Toc17840187 \h </w:instrText>
        </w:r>
        <w:r w:rsidR="002A0AC7">
          <w:rPr>
            <w:noProof/>
            <w:webHidden/>
          </w:rPr>
        </w:r>
        <w:r w:rsidR="002A0AC7">
          <w:rPr>
            <w:noProof/>
            <w:webHidden/>
          </w:rPr>
          <w:fldChar w:fldCharType="separate"/>
        </w:r>
        <w:r w:rsidR="002A0AC7">
          <w:rPr>
            <w:noProof/>
            <w:webHidden/>
          </w:rPr>
          <w:t>29</w:t>
        </w:r>
        <w:r w:rsidR="002A0AC7">
          <w:rPr>
            <w:noProof/>
            <w:webHidden/>
          </w:rPr>
          <w:fldChar w:fldCharType="end"/>
        </w:r>
      </w:hyperlink>
    </w:p>
    <w:p w14:paraId="768BC5CF" w14:textId="794140F8" w:rsidR="002A0AC7" w:rsidRDefault="008339A9">
      <w:pPr>
        <w:pStyle w:val="Tabledesillustrations"/>
        <w:tabs>
          <w:tab w:val="left" w:pos="3540"/>
          <w:tab w:val="right" w:leader="dot" w:pos="9062"/>
        </w:tabs>
        <w:rPr>
          <w:rFonts w:eastAsiaTheme="minorEastAsia" w:cstheme="minorBidi"/>
          <w:smallCaps w:val="0"/>
          <w:noProof/>
          <w:sz w:val="22"/>
          <w:szCs w:val="22"/>
          <w:lang w:eastAsia="fr-FR"/>
        </w:rPr>
      </w:pPr>
      <w:hyperlink w:anchor="_Toc17840188" w:history="1">
        <w:r w:rsidR="002A0AC7" w:rsidRPr="006A084B">
          <w:rPr>
            <w:rStyle w:val="Lienhypertexte"/>
            <w:noProof/>
          </w:rPr>
          <w:t xml:space="preserve">Figure 30: Les risques à assurer en général </w:t>
        </w:r>
        <w:r w:rsidR="002A0AC7">
          <w:rPr>
            <w:rFonts w:eastAsiaTheme="minorEastAsia" w:cstheme="minorBidi"/>
            <w:smallCaps w:val="0"/>
            <w:noProof/>
            <w:sz w:val="22"/>
            <w:szCs w:val="22"/>
            <w:lang w:eastAsia="fr-FR"/>
          </w:rPr>
          <w:tab/>
        </w:r>
        <w:r w:rsidR="002A0AC7" w:rsidRPr="006A084B">
          <w:rPr>
            <w:rStyle w:val="Lienhypertexte"/>
            <w:noProof/>
          </w:rPr>
          <w:t xml:space="preserve">  Figure 31: Les risques liés à la pluviométrie à assurer</w:t>
        </w:r>
        <w:r w:rsidR="002A0AC7">
          <w:rPr>
            <w:noProof/>
            <w:webHidden/>
          </w:rPr>
          <w:tab/>
        </w:r>
        <w:r w:rsidR="002A0AC7">
          <w:rPr>
            <w:noProof/>
            <w:webHidden/>
          </w:rPr>
          <w:fldChar w:fldCharType="begin"/>
        </w:r>
        <w:r w:rsidR="002A0AC7">
          <w:rPr>
            <w:noProof/>
            <w:webHidden/>
          </w:rPr>
          <w:instrText xml:space="preserve"> PAGEREF _Toc17840188 \h </w:instrText>
        </w:r>
        <w:r w:rsidR="002A0AC7">
          <w:rPr>
            <w:noProof/>
            <w:webHidden/>
          </w:rPr>
        </w:r>
        <w:r w:rsidR="002A0AC7">
          <w:rPr>
            <w:noProof/>
            <w:webHidden/>
          </w:rPr>
          <w:fldChar w:fldCharType="separate"/>
        </w:r>
        <w:r w:rsidR="002A0AC7">
          <w:rPr>
            <w:noProof/>
            <w:webHidden/>
          </w:rPr>
          <w:t>30</w:t>
        </w:r>
        <w:r w:rsidR="002A0AC7">
          <w:rPr>
            <w:noProof/>
            <w:webHidden/>
          </w:rPr>
          <w:fldChar w:fldCharType="end"/>
        </w:r>
      </w:hyperlink>
    </w:p>
    <w:p w14:paraId="6B309F9E" w14:textId="5D600DD5" w:rsidR="002A0AC7" w:rsidRDefault="008339A9">
      <w:pPr>
        <w:pStyle w:val="Tabledesillustrations"/>
        <w:tabs>
          <w:tab w:val="left" w:pos="4078"/>
          <w:tab w:val="right" w:leader="dot" w:pos="9062"/>
        </w:tabs>
        <w:rPr>
          <w:rFonts w:eastAsiaTheme="minorEastAsia" w:cstheme="minorBidi"/>
          <w:smallCaps w:val="0"/>
          <w:noProof/>
          <w:sz w:val="22"/>
          <w:szCs w:val="22"/>
          <w:lang w:eastAsia="fr-FR"/>
        </w:rPr>
      </w:pPr>
      <w:hyperlink w:anchor="_Toc17840189" w:history="1">
        <w:r w:rsidR="002A0AC7" w:rsidRPr="006A084B">
          <w:rPr>
            <w:rStyle w:val="Lienhypertexte"/>
            <w:noProof/>
          </w:rPr>
          <w:t>Figure 32: Consentement à payer par tête de bovin</w:t>
        </w:r>
        <w:r w:rsidR="002A0AC7">
          <w:rPr>
            <w:rFonts w:eastAsiaTheme="minorEastAsia" w:cstheme="minorBidi"/>
            <w:smallCaps w:val="0"/>
            <w:noProof/>
            <w:sz w:val="22"/>
            <w:szCs w:val="22"/>
            <w:lang w:eastAsia="fr-FR"/>
          </w:rPr>
          <w:tab/>
        </w:r>
        <w:r w:rsidR="002A0AC7" w:rsidRPr="006A084B">
          <w:rPr>
            <w:rStyle w:val="Lienhypertexte"/>
            <w:noProof/>
          </w:rPr>
          <w:t xml:space="preserve">     Figure 33: Consentement à payer: 5 plus importants bovins</w:t>
        </w:r>
        <w:r w:rsidR="002A0AC7">
          <w:rPr>
            <w:noProof/>
            <w:webHidden/>
          </w:rPr>
          <w:tab/>
        </w:r>
        <w:r w:rsidR="002A0AC7">
          <w:rPr>
            <w:noProof/>
            <w:webHidden/>
          </w:rPr>
          <w:fldChar w:fldCharType="begin"/>
        </w:r>
        <w:r w:rsidR="002A0AC7">
          <w:rPr>
            <w:noProof/>
            <w:webHidden/>
          </w:rPr>
          <w:instrText xml:space="preserve"> PAGEREF _Toc17840189 \h </w:instrText>
        </w:r>
        <w:r w:rsidR="002A0AC7">
          <w:rPr>
            <w:noProof/>
            <w:webHidden/>
          </w:rPr>
        </w:r>
        <w:r w:rsidR="002A0AC7">
          <w:rPr>
            <w:noProof/>
            <w:webHidden/>
          </w:rPr>
          <w:fldChar w:fldCharType="separate"/>
        </w:r>
        <w:r w:rsidR="002A0AC7">
          <w:rPr>
            <w:noProof/>
            <w:webHidden/>
          </w:rPr>
          <w:t>31</w:t>
        </w:r>
        <w:r w:rsidR="002A0AC7">
          <w:rPr>
            <w:noProof/>
            <w:webHidden/>
          </w:rPr>
          <w:fldChar w:fldCharType="end"/>
        </w:r>
      </w:hyperlink>
    </w:p>
    <w:p w14:paraId="43684F55" w14:textId="0A61DF2C" w:rsidR="002A0AC7" w:rsidRDefault="008339A9">
      <w:pPr>
        <w:pStyle w:val="Tabledesillustrations"/>
        <w:tabs>
          <w:tab w:val="left" w:pos="4157"/>
          <w:tab w:val="right" w:leader="dot" w:pos="9062"/>
        </w:tabs>
        <w:rPr>
          <w:rFonts w:eastAsiaTheme="minorEastAsia" w:cstheme="minorBidi"/>
          <w:smallCaps w:val="0"/>
          <w:noProof/>
          <w:sz w:val="22"/>
          <w:szCs w:val="22"/>
          <w:lang w:eastAsia="fr-FR"/>
        </w:rPr>
      </w:pPr>
      <w:hyperlink w:anchor="_Toc17840190" w:history="1">
        <w:r w:rsidR="002A0AC7" w:rsidRPr="006A084B">
          <w:rPr>
            <w:rStyle w:val="Lienhypertexte"/>
            <w:noProof/>
          </w:rPr>
          <w:t>Figure 34: Consentement à payer: tout le troupeau</w:t>
        </w:r>
        <w:r w:rsidR="002A0AC7">
          <w:rPr>
            <w:rFonts w:eastAsiaTheme="minorEastAsia" w:cstheme="minorBidi"/>
            <w:smallCaps w:val="0"/>
            <w:noProof/>
            <w:sz w:val="22"/>
            <w:szCs w:val="22"/>
            <w:lang w:eastAsia="fr-FR"/>
          </w:rPr>
          <w:tab/>
        </w:r>
        <w:r w:rsidR="002A0AC7" w:rsidRPr="006A084B">
          <w:rPr>
            <w:rStyle w:val="Lienhypertexte"/>
            <w:noProof/>
          </w:rPr>
          <w:t xml:space="preserve">    Figure 35: Consentement à payer: valeur de 100 000 FCFA</w:t>
        </w:r>
        <w:r w:rsidR="002A0AC7">
          <w:rPr>
            <w:noProof/>
            <w:webHidden/>
          </w:rPr>
          <w:tab/>
        </w:r>
        <w:r w:rsidR="002A0AC7">
          <w:rPr>
            <w:noProof/>
            <w:webHidden/>
          </w:rPr>
          <w:fldChar w:fldCharType="begin"/>
        </w:r>
        <w:r w:rsidR="002A0AC7">
          <w:rPr>
            <w:noProof/>
            <w:webHidden/>
          </w:rPr>
          <w:instrText xml:space="preserve"> PAGEREF _Toc17840190 \h </w:instrText>
        </w:r>
        <w:r w:rsidR="002A0AC7">
          <w:rPr>
            <w:noProof/>
            <w:webHidden/>
          </w:rPr>
        </w:r>
        <w:r w:rsidR="002A0AC7">
          <w:rPr>
            <w:noProof/>
            <w:webHidden/>
          </w:rPr>
          <w:fldChar w:fldCharType="separate"/>
        </w:r>
        <w:r w:rsidR="002A0AC7">
          <w:rPr>
            <w:noProof/>
            <w:webHidden/>
          </w:rPr>
          <w:t>31</w:t>
        </w:r>
        <w:r w:rsidR="002A0AC7">
          <w:rPr>
            <w:noProof/>
            <w:webHidden/>
          </w:rPr>
          <w:fldChar w:fldCharType="end"/>
        </w:r>
      </w:hyperlink>
    </w:p>
    <w:p w14:paraId="13B84F1E" w14:textId="36CE58E8" w:rsidR="002A0AC7" w:rsidRDefault="008339A9">
      <w:pPr>
        <w:pStyle w:val="Tabledesillustrations"/>
        <w:tabs>
          <w:tab w:val="left" w:pos="3428"/>
          <w:tab w:val="right" w:leader="dot" w:pos="9062"/>
        </w:tabs>
        <w:rPr>
          <w:rFonts w:eastAsiaTheme="minorEastAsia" w:cstheme="minorBidi"/>
          <w:smallCaps w:val="0"/>
          <w:noProof/>
          <w:sz w:val="22"/>
          <w:szCs w:val="22"/>
          <w:lang w:eastAsia="fr-FR"/>
        </w:rPr>
      </w:pPr>
      <w:hyperlink w:anchor="_Toc17840191" w:history="1">
        <w:r w:rsidR="002A0AC7" w:rsidRPr="006A084B">
          <w:rPr>
            <w:rStyle w:val="Lienhypertexte"/>
            <w:noProof/>
          </w:rPr>
          <w:t>Figure 36: Consentement à payer: un ovin</w:t>
        </w:r>
        <w:r w:rsidR="002A0AC7">
          <w:rPr>
            <w:rFonts w:eastAsiaTheme="minorEastAsia" w:cstheme="minorBidi"/>
            <w:smallCaps w:val="0"/>
            <w:noProof/>
            <w:sz w:val="22"/>
            <w:szCs w:val="22"/>
            <w:lang w:eastAsia="fr-FR"/>
          </w:rPr>
          <w:tab/>
        </w:r>
        <w:r w:rsidR="002A0AC7" w:rsidRPr="006A084B">
          <w:rPr>
            <w:rStyle w:val="Lienhypertexte"/>
            <w:noProof/>
          </w:rPr>
          <w:t xml:space="preserve">       Figure 37: Consentement à payer: 5 plus importants ovins</w:t>
        </w:r>
        <w:r w:rsidR="002A0AC7">
          <w:rPr>
            <w:noProof/>
            <w:webHidden/>
          </w:rPr>
          <w:tab/>
        </w:r>
        <w:r w:rsidR="002A0AC7">
          <w:rPr>
            <w:noProof/>
            <w:webHidden/>
          </w:rPr>
          <w:fldChar w:fldCharType="begin"/>
        </w:r>
        <w:r w:rsidR="002A0AC7">
          <w:rPr>
            <w:noProof/>
            <w:webHidden/>
          </w:rPr>
          <w:instrText xml:space="preserve"> PAGEREF _Toc17840191 \h </w:instrText>
        </w:r>
        <w:r w:rsidR="002A0AC7">
          <w:rPr>
            <w:noProof/>
            <w:webHidden/>
          </w:rPr>
        </w:r>
        <w:r w:rsidR="002A0AC7">
          <w:rPr>
            <w:noProof/>
            <w:webHidden/>
          </w:rPr>
          <w:fldChar w:fldCharType="separate"/>
        </w:r>
        <w:r w:rsidR="002A0AC7">
          <w:rPr>
            <w:noProof/>
            <w:webHidden/>
          </w:rPr>
          <w:t>32</w:t>
        </w:r>
        <w:r w:rsidR="002A0AC7">
          <w:rPr>
            <w:noProof/>
            <w:webHidden/>
          </w:rPr>
          <w:fldChar w:fldCharType="end"/>
        </w:r>
      </w:hyperlink>
    </w:p>
    <w:p w14:paraId="20BFE035" w14:textId="4A87F4CD" w:rsidR="002A0AC7" w:rsidRDefault="008339A9">
      <w:pPr>
        <w:pStyle w:val="Tabledesillustrations"/>
        <w:tabs>
          <w:tab w:val="left" w:pos="3910"/>
          <w:tab w:val="right" w:leader="dot" w:pos="9062"/>
        </w:tabs>
        <w:rPr>
          <w:rFonts w:eastAsiaTheme="minorEastAsia" w:cstheme="minorBidi"/>
          <w:smallCaps w:val="0"/>
          <w:noProof/>
          <w:sz w:val="22"/>
          <w:szCs w:val="22"/>
          <w:lang w:eastAsia="fr-FR"/>
        </w:rPr>
      </w:pPr>
      <w:hyperlink w:anchor="_Toc17840192" w:history="1">
        <w:r w:rsidR="002A0AC7" w:rsidRPr="006A084B">
          <w:rPr>
            <w:rStyle w:val="Lienhypertexte"/>
            <w:noProof/>
          </w:rPr>
          <w:t>Figure 38: Consentement à payer: tous les ovins</w:t>
        </w:r>
        <w:r w:rsidR="002A0AC7">
          <w:rPr>
            <w:rFonts w:eastAsiaTheme="minorEastAsia" w:cstheme="minorBidi"/>
            <w:smallCaps w:val="0"/>
            <w:noProof/>
            <w:sz w:val="22"/>
            <w:szCs w:val="22"/>
            <w:lang w:eastAsia="fr-FR"/>
          </w:rPr>
          <w:tab/>
        </w:r>
        <w:r w:rsidR="002A0AC7" w:rsidRPr="006A084B">
          <w:rPr>
            <w:rStyle w:val="Lienhypertexte"/>
            <w:noProof/>
          </w:rPr>
          <w:t xml:space="preserve">       Figure 39: Consentement à payer : valeur de 100 000 FCFA</w:t>
        </w:r>
        <w:r w:rsidR="002A0AC7">
          <w:rPr>
            <w:noProof/>
            <w:webHidden/>
          </w:rPr>
          <w:tab/>
        </w:r>
        <w:r w:rsidR="002A0AC7">
          <w:rPr>
            <w:noProof/>
            <w:webHidden/>
          </w:rPr>
          <w:fldChar w:fldCharType="begin"/>
        </w:r>
        <w:r w:rsidR="002A0AC7">
          <w:rPr>
            <w:noProof/>
            <w:webHidden/>
          </w:rPr>
          <w:instrText xml:space="preserve"> PAGEREF _Toc17840192 \h </w:instrText>
        </w:r>
        <w:r w:rsidR="002A0AC7">
          <w:rPr>
            <w:noProof/>
            <w:webHidden/>
          </w:rPr>
        </w:r>
        <w:r w:rsidR="002A0AC7">
          <w:rPr>
            <w:noProof/>
            <w:webHidden/>
          </w:rPr>
          <w:fldChar w:fldCharType="separate"/>
        </w:r>
        <w:r w:rsidR="002A0AC7">
          <w:rPr>
            <w:noProof/>
            <w:webHidden/>
          </w:rPr>
          <w:t>33</w:t>
        </w:r>
        <w:r w:rsidR="002A0AC7">
          <w:rPr>
            <w:noProof/>
            <w:webHidden/>
          </w:rPr>
          <w:fldChar w:fldCharType="end"/>
        </w:r>
      </w:hyperlink>
    </w:p>
    <w:p w14:paraId="7C090E78" w14:textId="3C9B0F2B" w:rsidR="002A0AC7" w:rsidRDefault="008339A9">
      <w:pPr>
        <w:pStyle w:val="Tabledesillustrations"/>
        <w:tabs>
          <w:tab w:val="left" w:pos="4269"/>
          <w:tab w:val="right" w:leader="dot" w:pos="9062"/>
        </w:tabs>
        <w:rPr>
          <w:rFonts w:eastAsiaTheme="minorEastAsia" w:cstheme="minorBidi"/>
          <w:smallCaps w:val="0"/>
          <w:noProof/>
          <w:sz w:val="22"/>
          <w:szCs w:val="22"/>
          <w:lang w:eastAsia="fr-FR"/>
        </w:rPr>
      </w:pPr>
      <w:hyperlink w:anchor="_Toc17840193" w:history="1">
        <w:r w:rsidR="002A0AC7" w:rsidRPr="006A084B">
          <w:rPr>
            <w:rStyle w:val="Lienhypertexte"/>
            <w:noProof/>
          </w:rPr>
          <w:t>Figure 40: Consentement à payer: par tête de caprins</w:t>
        </w:r>
        <w:r w:rsidR="002A0AC7">
          <w:rPr>
            <w:rFonts w:eastAsiaTheme="minorEastAsia" w:cstheme="minorBidi"/>
            <w:smallCaps w:val="0"/>
            <w:noProof/>
            <w:sz w:val="22"/>
            <w:szCs w:val="22"/>
            <w:lang w:eastAsia="fr-FR"/>
          </w:rPr>
          <w:tab/>
        </w:r>
        <w:r w:rsidR="002A0AC7" w:rsidRPr="006A084B">
          <w:rPr>
            <w:rStyle w:val="Lienhypertexte"/>
            <w:noProof/>
          </w:rPr>
          <w:t xml:space="preserve">       Figure 41: Consentement à payer: 5 plus importants caprins</w:t>
        </w:r>
        <w:r w:rsidR="002A0AC7">
          <w:rPr>
            <w:noProof/>
            <w:webHidden/>
          </w:rPr>
          <w:tab/>
        </w:r>
        <w:r w:rsidR="002A0AC7">
          <w:rPr>
            <w:noProof/>
            <w:webHidden/>
          </w:rPr>
          <w:fldChar w:fldCharType="begin"/>
        </w:r>
        <w:r w:rsidR="002A0AC7">
          <w:rPr>
            <w:noProof/>
            <w:webHidden/>
          </w:rPr>
          <w:instrText xml:space="preserve"> PAGEREF _Toc17840193 \h </w:instrText>
        </w:r>
        <w:r w:rsidR="002A0AC7">
          <w:rPr>
            <w:noProof/>
            <w:webHidden/>
          </w:rPr>
        </w:r>
        <w:r w:rsidR="002A0AC7">
          <w:rPr>
            <w:noProof/>
            <w:webHidden/>
          </w:rPr>
          <w:fldChar w:fldCharType="separate"/>
        </w:r>
        <w:r w:rsidR="002A0AC7">
          <w:rPr>
            <w:noProof/>
            <w:webHidden/>
          </w:rPr>
          <w:t>34</w:t>
        </w:r>
        <w:r w:rsidR="002A0AC7">
          <w:rPr>
            <w:noProof/>
            <w:webHidden/>
          </w:rPr>
          <w:fldChar w:fldCharType="end"/>
        </w:r>
      </w:hyperlink>
    </w:p>
    <w:p w14:paraId="027CFACC" w14:textId="512C974F" w:rsidR="002A0AC7" w:rsidRDefault="008339A9">
      <w:pPr>
        <w:pStyle w:val="Tabledesillustrations"/>
        <w:tabs>
          <w:tab w:val="left" w:pos="4061"/>
          <w:tab w:val="right" w:leader="dot" w:pos="9062"/>
        </w:tabs>
        <w:rPr>
          <w:rFonts w:eastAsiaTheme="minorEastAsia" w:cstheme="minorBidi"/>
          <w:smallCaps w:val="0"/>
          <w:noProof/>
          <w:sz w:val="22"/>
          <w:szCs w:val="22"/>
          <w:lang w:eastAsia="fr-FR"/>
        </w:rPr>
      </w:pPr>
      <w:hyperlink w:anchor="_Toc17840194" w:history="1">
        <w:r w:rsidR="002A0AC7" w:rsidRPr="006A084B">
          <w:rPr>
            <w:rStyle w:val="Lienhypertexte"/>
            <w:noProof/>
          </w:rPr>
          <w:t>Figure 42: Consentement à payer: tous les caprins</w:t>
        </w:r>
        <w:r w:rsidR="002A0AC7">
          <w:rPr>
            <w:rFonts w:eastAsiaTheme="minorEastAsia" w:cstheme="minorBidi"/>
            <w:smallCaps w:val="0"/>
            <w:noProof/>
            <w:sz w:val="22"/>
            <w:szCs w:val="22"/>
            <w:lang w:eastAsia="fr-FR"/>
          </w:rPr>
          <w:tab/>
        </w:r>
        <w:r w:rsidR="002A0AC7" w:rsidRPr="006A084B">
          <w:rPr>
            <w:rStyle w:val="Lienhypertexte"/>
            <w:noProof/>
          </w:rPr>
          <w:t xml:space="preserve">       Figure 43: Consentement à payer: valeur de 100 000 FCFA</w:t>
        </w:r>
        <w:r w:rsidR="002A0AC7">
          <w:rPr>
            <w:noProof/>
            <w:webHidden/>
          </w:rPr>
          <w:tab/>
        </w:r>
        <w:r w:rsidR="002A0AC7">
          <w:rPr>
            <w:noProof/>
            <w:webHidden/>
          </w:rPr>
          <w:fldChar w:fldCharType="begin"/>
        </w:r>
        <w:r w:rsidR="002A0AC7">
          <w:rPr>
            <w:noProof/>
            <w:webHidden/>
          </w:rPr>
          <w:instrText xml:space="preserve"> PAGEREF _Toc17840194 \h </w:instrText>
        </w:r>
        <w:r w:rsidR="002A0AC7">
          <w:rPr>
            <w:noProof/>
            <w:webHidden/>
          </w:rPr>
        </w:r>
        <w:r w:rsidR="002A0AC7">
          <w:rPr>
            <w:noProof/>
            <w:webHidden/>
          </w:rPr>
          <w:fldChar w:fldCharType="separate"/>
        </w:r>
        <w:r w:rsidR="002A0AC7">
          <w:rPr>
            <w:noProof/>
            <w:webHidden/>
          </w:rPr>
          <w:t>34</w:t>
        </w:r>
        <w:r w:rsidR="002A0AC7">
          <w:rPr>
            <w:noProof/>
            <w:webHidden/>
          </w:rPr>
          <w:fldChar w:fldCharType="end"/>
        </w:r>
      </w:hyperlink>
    </w:p>
    <w:p w14:paraId="0FAE187D" w14:textId="56B14347" w:rsidR="002A0AC7" w:rsidRDefault="008339A9">
      <w:pPr>
        <w:pStyle w:val="Tabledesillustrations"/>
        <w:tabs>
          <w:tab w:val="right" w:leader="dot" w:pos="9062"/>
        </w:tabs>
        <w:rPr>
          <w:rFonts w:eastAsiaTheme="minorEastAsia" w:cstheme="minorBidi"/>
          <w:smallCaps w:val="0"/>
          <w:noProof/>
          <w:sz w:val="22"/>
          <w:szCs w:val="22"/>
          <w:lang w:eastAsia="fr-FR"/>
        </w:rPr>
      </w:pPr>
      <w:hyperlink w:anchor="_Toc17840195" w:history="1">
        <w:r w:rsidR="002A0AC7" w:rsidRPr="006A084B">
          <w:rPr>
            <w:rStyle w:val="Lienhypertexte"/>
            <w:noProof/>
          </w:rPr>
          <w:t>Figure 44: Adhésion à une association d'éleveurs</w:t>
        </w:r>
        <w:r w:rsidR="002A0AC7">
          <w:rPr>
            <w:noProof/>
            <w:webHidden/>
          </w:rPr>
          <w:tab/>
        </w:r>
        <w:r w:rsidR="002A0AC7">
          <w:rPr>
            <w:noProof/>
            <w:webHidden/>
          </w:rPr>
          <w:fldChar w:fldCharType="begin"/>
        </w:r>
        <w:r w:rsidR="002A0AC7">
          <w:rPr>
            <w:noProof/>
            <w:webHidden/>
          </w:rPr>
          <w:instrText xml:space="preserve"> PAGEREF _Toc17840195 \h </w:instrText>
        </w:r>
        <w:r w:rsidR="002A0AC7">
          <w:rPr>
            <w:noProof/>
            <w:webHidden/>
          </w:rPr>
        </w:r>
        <w:r w:rsidR="002A0AC7">
          <w:rPr>
            <w:noProof/>
            <w:webHidden/>
          </w:rPr>
          <w:fldChar w:fldCharType="separate"/>
        </w:r>
        <w:r w:rsidR="002A0AC7">
          <w:rPr>
            <w:noProof/>
            <w:webHidden/>
          </w:rPr>
          <w:t>37</w:t>
        </w:r>
        <w:r w:rsidR="002A0AC7">
          <w:rPr>
            <w:noProof/>
            <w:webHidden/>
          </w:rPr>
          <w:fldChar w:fldCharType="end"/>
        </w:r>
      </w:hyperlink>
    </w:p>
    <w:p w14:paraId="24EE259E" w14:textId="258A4335" w:rsidR="002A0AC7" w:rsidRDefault="008339A9">
      <w:pPr>
        <w:pStyle w:val="Tabledesillustrations"/>
        <w:tabs>
          <w:tab w:val="right" w:leader="dot" w:pos="9062"/>
        </w:tabs>
        <w:rPr>
          <w:rFonts w:eastAsiaTheme="minorEastAsia" w:cstheme="minorBidi"/>
          <w:smallCaps w:val="0"/>
          <w:noProof/>
          <w:sz w:val="22"/>
          <w:szCs w:val="22"/>
          <w:lang w:eastAsia="fr-FR"/>
        </w:rPr>
      </w:pPr>
      <w:hyperlink w:anchor="_Toc17840196" w:history="1">
        <w:r w:rsidR="002A0AC7" w:rsidRPr="006A084B">
          <w:rPr>
            <w:rStyle w:val="Lienhypertexte"/>
            <w:noProof/>
          </w:rPr>
          <w:t>Figure 45: Préférence entre l'assurance classique et l'assurance indicielle</w:t>
        </w:r>
        <w:r w:rsidR="002A0AC7">
          <w:rPr>
            <w:noProof/>
            <w:webHidden/>
          </w:rPr>
          <w:tab/>
        </w:r>
        <w:r w:rsidR="002A0AC7">
          <w:rPr>
            <w:noProof/>
            <w:webHidden/>
          </w:rPr>
          <w:fldChar w:fldCharType="begin"/>
        </w:r>
        <w:r w:rsidR="002A0AC7">
          <w:rPr>
            <w:noProof/>
            <w:webHidden/>
          </w:rPr>
          <w:instrText xml:space="preserve"> PAGEREF _Toc17840196 \h </w:instrText>
        </w:r>
        <w:r w:rsidR="002A0AC7">
          <w:rPr>
            <w:noProof/>
            <w:webHidden/>
          </w:rPr>
        </w:r>
        <w:r w:rsidR="002A0AC7">
          <w:rPr>
            <w:noProof/>
            <w:webHidden/>
          </w:rPr>
          <w:fldChar w:fldCharType="separate"/>
        </w:r>
        <w:r w:rsidR="002A0AC7">
          <w:rPr>
            <w:noProof/>
            <w:webHidden/>
          </w:rPr>
          <w:t>38</w:t>
        </w:r>
        <w:r w:rsidR="002A0AC7">
          <w:rPr>
            <w:noProof/>
            <w:webHidden/>
          </w:rPr>
          <w:fldChar w:fldCharType="end"/>
        </w:r>
      </w:hyperlink>
    </w:p>
    <w:p w14:paraId="0310806C" w14:textId="2D8F4740" w:rsidR="00B21741" w:rsidRDefault="002A0AC7" w:rsidP="002A0AC7">
      <w:pPr>
        <w:pStyle w:val="Titre1"/>
      </w:pPr>
      <w:r>
        <w:fldChar w:fldCharType="end"/>
      </w:r>
      <w:bookmarkStart w:id="3" w:name="_Toc17840307"/>
      <w:r>
        <w:t>Liste des tableaux</w:t>
      </w:r>
      <w:bookmarkEnd w:id="3"/>
    </w:p>
    <w:p w14:paraId="6A9ED6AE" w14:textId="37D8A723" w:rsidR="002A0AC7" w:rsidRDefault="002A0AC7">
      <w:pPr>
        <w:pStyle w:val="Tabledesillustrations"/>
        <w:tabs>
          <w:tab w:val="right" w:leader="dot" w:pos="9062"/>
        </w:tabs>
        <w:rPr>
          <w:rFonts w:eastAsiaTheme="minorEastAsia" w:cstheme="minorBidi"/>
          <w:smallCaps w:val="0"/>
          <w:noProof/>
          <w:sz w:val="22"/>
          <w:szCs w:val="22"/>
          <w:lang w:eastAsia="fr-FR"/>
        </w:rPr>
      </w:pPr>
      <w:r>
        <w:fldChar w:fldCharType="begin"/>
      </w:r>
      <w:r>
        <w:instrText xml:space="preserve"> TOC \h \z \c "Tableau" </w:instrText>
      </w:r>
      <w:r>
        <w:fldChar w:fldCharType="separate"/>
      </w:r>
      <w:hyperlink w:anchor="_Toc17840238" w:history="1">
        <w:r w:rsidRPr="000B1724">
          <w:rPr>
            <w:rStyle w:val="Lienhypertexte"/>
            <w:noProof/>
          </w:rPr>
          <w:t>Tableau 1 : Les strates définies pour le tirage des communes</w:t>
        </w:r>
        <w:r>
          <w:rPr>
            <w:noProof/>
            <w:webHidden/>
          </w:rPr>
          <w:tab/>
        </w:r>
        <w:r>
          <w:rPr>
            <w:noProof/>
            <w:webHidden/>
          </w:rPr>
          <w:fldChar w:fldCharType="begin"/>
        </w:r>
        <w:r>
          <w:rPr>
            <w:noProof/>
            <w:webHidden/>
          </w:rPr>
          <w:instrText xml:space="preserve"> PAGEREF _Toc17840238 \h </w:instrText>
        </w:r>
        <w:r>
          <w:rPr>
            <w:noProof/>
            <w:webHidden/>
          </w:rPr>
        </w:r>
        <w:r>
          <w:rPr>
            <w:noProof/>
            <w:webHidden/>
          </w:rPr>
          <w:fldChar w:fldCharType="separate"/>
        </w:r>
        <w:r>
          <w:rPr>
            <w:noProof/>
            <w:webHidden/>
          </w:rPr>
          <w:t>14</w:t>
        </w:r>
        <w:r>
          <w:rPr>
            <w:noProof/>
            <w:webHidden/>
          </w:rPr>
          <w:fldChar w:fldCharType="end"/>
        </w:r>
      </w:hyperlink>
    </w:p>
    <w:p w14:paraId="6A9EB05E" w14:textId="7F5F0CFA" w:rsidR="002A0AC7" w:rsidRDefault="008339A9">
      <w:pPr>
        <w:pStyle w:val="Tabledesillustrations"/>
        <w:tabs>
          <w:tab w:val="right" w:leader="dot" w:pos="9062"/>
        </w:tabs>
        <w:rPr>
          <w:rFonts w:eastAsiaTheme="minorEastAsia" w:cstheme="minorBidi"/>
          <w:smallCaps w:val="0"/>
          <w:noProof/>
          <w:sz w:val="22"/>
          <w:szCs w:val="22"/>
          <w:lang w:eastAsia="fr-FR"/>
        </w:rPr>
      </w:pPr>
      <w:hyperlink w:anchor="_Toc17840239" w:history="1">
        <w:r w:rsidR="002A0AC7" w:rsidRPr="000B1724">
          <w:rPr>
            <w:rStyle w:val="Lienhypertexte"/>
            <w:noProof/>
          </w:rPr>
          <w:t>Tableau 2: Carte de paiement choisies pour mesurer le consentement à payer selon différentes offres d'assurance bétail</w:t>
        </w:r>
        <w:r w:rsidR="002A0AC7">
          <w:rPr>
            <w:noProof/>
            <w:webHidden/>
          </w:rPr>
          <w:tab/>
        </w:r>
        <w:r w:rsidR="002A0AC7">
          <w:rPr>
            <w:noProof/>
            <w:webHidden/>
          </w:rPr>
          <w:fldChar w:fldCharType="begin"/>
        </w:r>
        <w:r w:rsidR="002A0AC7">
          <w:rPr>
            <w:noProof/>
            <w:webHidden/>
          </w:rPr>
          <w:instrText xml:space="preserve"> PAGEREF _Toc17840239 \h </w:instrText>
        </w:r>
        <w:r w:rsidR="002A0AC7">
          <w:rPr>
            <w:noProof/>
            <w:webHidden/>
          </w:rPr>
        </w:r>
        <w:r w:rsidR="002A0AC7">
          <w:rPr>
            <w:noProof/>
            <w:webHidden/>
          </w:rPr>
          <w:fldChar w:fldCharType="separate"/>
        </w:r>
        <w:r w:rsidR="002A0AC7">
          <w:rPr>
            <w:noProof/>
            <w:webHidden/>
          </w:rPr>
          <w:t>16</w:t>
        </w:r>
        <w:r w:rsidR="002A0AC7">
          <w:rPr>
            <w:noProof/>
            <w:webHidden/>
          </w:rPr>
          <w:fldChar w:fldCharType="end"/>
        </w:r>
      </w:hyperlink>
    </w:p>
    <w:p w14:paraId="64E0FA36" w14:textId="6BC1D8A8" w:rsidR="002A0AC7" w:rsidRDefault="008339A9">
      <w:pPr>
        <w:pStyle w:val="Tabledesillustrations"/>
        <w:tabs>
          <w:tab w:val="right" w:leader="dot" w:pos="9062"/>
        </w:tabs>
        <w:rPr>
          <w:rFonts w:eastAsiaTheme="minorEastAsia" w:cstheme="minorBidi"/>
          <w:smallCaps w:val="0"/>
          <w:noProof/>
          <w:sz w:val="22"/>
          <w:szCs w:val="22"/>
          <w:lang w:eastAsia="fr-FR"/>
        </w:rPr>
      </w:pPr>
      <w:hyperlink w:anchor="_Toc17840240" w:history="1">
        <w:r w:rsidR="002A0AC7" w:rsidRPr="000B1724">
          <w:rPr>
            <w:rStyle w:val="Lienhypertexte"/>
            <w:noProof/>
          </w:rPr>
          <w:t>Tableau 3: Intervalle des consentements à payer les plus déclarés par les éleveurs</w:t>
        </w:r>
        <w:r w:rsidR="002A0AC7">
          <w:rPr>
            <w:noProof/>
            <w:webHidden/>
          </w:rPr>
          <w:tab/>
        </w:r>
        <w:r w:rsidR="002A0AC7">
          <w:rPr>
            <w:noProof/>
            <w:webHidden/>
          </w:rPr>
          <w:fldChar w:fldCharType="begin"/>
        </w:r>
        <w:r w:rsidR="002A0AC7">
          <w:rPr>
            <w:noProof/>
            <w:webHidden/>
          </w:rPr>
          <w:instrText xml:space="preserve"> PAGEREF _Toc17840240 \h </w:instrText>
        </w:r>
        <w:r w:rsidR="002A0AC7">
          <w:rPr>
            <w:noProof/>
            <w:webHidden/>
          </w:rPr>
        </w:r>
        <w:r w:rsidR="002A0AC7">
          <w:rPr>
            <w:noProof/>
            <w:webHidden/>
          </w:rPr>
          <w:fldChar w:fldCharType="separate"/>
        </w:r>
        <w:r w:rsidR="002A0AC7">
          <w:rPr>
            <w:noProof/>
            <w:webHidden/>
          </w:rPr>
          <w:t>35</w:t>
        </w:r>
        <w:r w:rsidR="002A0AC7">
          <w:rPr>
            <w:noProof/>
            <w:webHidden/>
          </w:rPr>
          <w:fldChar w:fldCharType="end"/>
        </w:r>
      </w:hyperlink>
    </w:p>
    <w:p w14:paraId="25EBD152" w14:textId="69141AA7" w:rsidR="002A0AC7" w:rsidRDefault="008339A9">
      <w:pPr>
        <w:pStyle w:val="Tabledesillustrations"/>
        <w:tabs>
          <w:tab w:val="right" w:leader="dot" w:pos="9062"/>
        </w:tabs>
        <w:rPr>
          <w:rFonts w:eastAsiaTheme="minorEastAsia" w:cstheme="minorBidi"/>
          <w:smallCaps w:val="0"/>
          <w:noProof/>
          <w:sz w:val="22"/>
          <w:szCs w:val="22"/>
          <w:lang w:eastAsia="fr-FR"/>
        </w:rPr>
      </w:pPr>
      <w:hyperlink w:anchor="_Toc17840241" w:history="1">
        <w:r w:rsidR="002A0AC7" w:rsidRPr="000B1724">
          <w:rPr>
            <w:rStyle w:val="Lienhypertexte"/>
            <w:noProof/>
          </w:rPr>
          <w:t>Tableau 4: Résultats des tests de significativité de la différence entre les producteurs qui ont consentement à payer pour l’assurer positif et ceux qui ne souhaitent pas acheter l’assurance.</w:t>
        </w:r>
        <w:r w:rsidR="002A0AC7">
          <w:rPr>
            <w:noProof/>
            <w:webHidden/>
          </w:rPr>
          <w:tab/>
        </w:r>
        <w:r w:rsidR="002A0AC7">
          <w:rPr>
            <w:noProof/>
            <w:webHidden/>
          </w:rPr>
          <w:fldChar w:fldCharType="begin"/>
        </w:r>
        <w:r w:rsidR="002A0AC7">
          <w:rPr>
            <w:noProof/>
            <w:webHidden/>
          </w:rPr>
          <w:instrText xml:space="preserve"> PAGEREF _Toc17840241 \h </w:instrText>
        </w:r>
        <w:r w:rsidR="002A0AC7">
          <w:rPr>
            <w:noProof/>
            <w:webHidden/>
          </w:rPr>
        </w:r>
        <w:r w:rsidR="002A0AC7">
          <w:rPr>
            <w:noProof/>
            <w:webHidden/>
          </w:rPr>
          <w:fldChar w:fldCharType="separate"/>
        </w:r>
        <w:r w:rsidR="002A0AC7">
          <w:rPr>
            <w:noProof/>
            <w:webHidden/>
          </w:rPr>
          <w:t>35</w:t>
        </w:r>
        <w:r w:rsidR="002A0AC7">
          <w:rPr>
            <w:noProof/>
            <w:webHidden/>
          </w:rPr>
          <w:fldChar w:fldCharType="end"/>
        </w:r>
      </w:hyperlink>
    </w:p>
    <w:p w14:paraId="62C9F940" w14:textId="565D19BB" w:rsidR="002A0AC7" w:rsidRDefault="008339A9">
      <w:pPr>
        <w:pStyle w:val="Tabledesillustrations"/>
        <w:tabs>
          <w:tab w:val="right" w:leader="dot" w:pos="9062"/>
        </w:tabs>
        <w:rPr>
          <w:rFonts w:eastAsiaTheme="minorEastAsia" w:cstheme="minorBidi"/>
          <w:smallCaps w:val="0"/>
          <w:noProof/>
          <w:sz w:val="22"/>
          <w:szCs w:val="22"/>
          <w:lang w:eastAsia="fr-FR"/>
        </w:rPr>
      </w:pPr>
      <w:hyperlink w:anchor="_Toc17840242" w:history="1">
        <w:r w:rsidR="002A0AC7" w:rsidRPr="000B1724">
          <w:rPr>
            <w:rStyle w:val="Lienhypertexte"/>
            <w:noProof/>
          </w:rPr>
          <w:t>Tableau 5: Zones de collecte (communes, villages)</w:t>
        </w:r>
        <w:r w:rsidR="002A0AC7">
          <w:rPr>
            <w:noProof/>
            <w:webHidden/>
          </w:rPr>
          <w:tab/>
        </w:r>
        <w:r w:rsidR="002A0AC7">
          <w:rPr>
            <w:noProof/>
            <w:webHidden/>
          </w:rPr>
          <w:fldChar w:fldCharType="begin"/>
        </w:r>
        <w:r w:rsidR="002A0AC7">
          <w:rPr>
            <w:noProof/>
            <w:webHidden/>
          </w:rPr>
          <w:instrText xml:space="preserve"> PAGEREF _Toc17840242 \h </w:instrText>
        </w:r>
        <w:r w:rsidR="002A0AC7">
          <w:rPr>
            <w:noProof/>
            <w:webHidden/>
          </w:rPr>
        </w:r>
        <w:r w:rsidR="002A0AC7">
          <w:rPr>
            <w:noProof/>
            <w:webHidden/>
          </w:rPr>
          <w:fldChar w:fldCharType="separate"/>
        </w:r>
        <w:r w:rsidR="002A0AC7">
          <w:rPr>
            <w:noProof/>
            <w:webHidden/>
          </w:rPr>
          <w:t>40</w:t>
        </w:r>
        <w:r w:rsidR="002A0AC7">
          <w:rPr>
            <w:noProof/>
            <w:webHidden/>
          </w:rPr>
          <w:fldChar w:fldCharType="end"/>
        </w:r>
      </w:hyperlink>
    </w:p>
    <w:p w14:paraId="28E1A45B" w14:textId="3299CE25" w:rsidR="00B21741" w:rsidRPr="00B21741" w:rsidRDefault="002A0AC7" w:rsidP="00FA04A9">
      <w:pPr>
        <w:sectPr w:rsidR="00B21741" w:rsidRPr="00B21741" w:rsidSect="00E4348F">
          <w:pgSz w:w="11906" w:h="16838"/>
          <w:pgMar w:top="1417" w:right="1417" w:bottom="1417" w:left="1417" w:header="708" w:footer="708" w:gutter="0"/>
          <w:cols w:space="708"/>
          <w:titlePg/>
          <w:docGrid w:linePitch="360"/>
        </w:sectPr>
      </w:pPr>
      <w:r>
        <w:fldChar w:fldCharType="end"/>
      </w:r>
    </w:p>
    <w:p w14:paraId="611F6C6F" w14:textId="77777777" w:rsidR="00C24EA1" w:rsidRDefault="00C24EA1" w:rsidP="0056146E">
      <w:pPr>
        <w:pStyle w:val="Titre1"/>
        <w:numPr>
          <w:ilvl w:val="0"/>
          <w:numId w:val="1"/>
        </w:numPr>
      </w:pPr>
      <w:bookmarkStart w:id="4" w:name="_Toc17840308"/>
      <w:r>
        <w:lastRenderedPageBreak/>
        <w:t>Conte</w:t>
      </w:r>
      <w:r w:rsidR="00E848A3">
        <w:t>xte et Justification de l’étude</w:t>
      </w:r>
      <w:bookmarkEnd w:id="4"/>
    </w:p>
    <w:p w14:paraId="0D8FB58B" w14:textId="77777777" w:rsidR="00086B08" w:rsidRDefault="00086B08" w:rsidP="00086B08">
      <w:pPr>
        <w:spacing w:line="276" w:lineRule="auto"/>
        <w:jc w:val="both"/>
      </w:pPr>
      <w:r>
        <w:t xml:space="preserve">L’Etat du Sénégal, à travers le Ministère de l’Elevage et des Productions Animales (MEPA) a manifesté récemment une forte volonté politique pour une gestion durable des risques qui ralentissent le développement du Secteur. Cette volonté se traduit entre autres par le durcissement de la loi sur le vol du bétail, et le mandat donné à la Compagnie Nationale d’Assurance Agricole du Sénégal (CNAAS) de développer des produits d’assurance pour la mortalité du bétail. C’est ainsi que la CNAAS propose actuellement un large éventail de produits d’assurance spécifiques pour couvrir les risques auxquels les éleveurs font face.  Ces produits existent pour l’instant sous forme d’assurances classiques et permettent une couverture par tête avec des coûts opérationnels qui limitent l’accessibilité pour les producteurs qui disposent de vastes troupeaux. </w:t>
      </w:r>
    </w:p>
    <w:p w14:paraId="591B8E52" w14:textId="59DD6CB1" w:rsidR="00FB2961" w:rsidRDefault="00A919A9" w:rsidP="00086B08">
      <w:pPr>
        <w:spacing w:line="276" w:lineRule="auto"/>
        <w:jc w:val="both"/>
      </w:pPr>
      <w:r>
        <w:t>L</w:t>
      </w:r>
      <w:r w:rsidR="00086B08">
        <w:t xml:space="preserve">’assurance classique ne s’adapte pas facilement </w:t>
      </w:r>
      <w:r>
        <w:t xml:space="preserve">donc </w:t>
      </w:r>
      <w:r w:rsidR="00086B08">
        <w:t xml:space="preserve">au mode d’élevage extensif qui est très mobile et surtout pratiqué dans la zone </w:t>
      </w:r>
      <w:proofErr w:type="spellStart"/>
      <w:r w:rsidR="00086B08">
        <w:t>sylvo</w:t>
      </w:r>
      <w:proofErr w:type="spellEnd"/>
      <w:r w:rsidR="00086B08">
        <w:t xml:space="preserve">-pastorale. De plus elle ne prend pas en compte de manière efficiente (à cause notamment des coûts élevés de vérification) la couverture des risques covariants liés à la variabilité climatique tels que les pluies hors saisons et le manque de pâturage lié au déficit pluviométrique. C’est ainsi que depuis les intempéries de Juin 2018 qui ont conduit à la mort de plus de 20 000 têtes de bétail, le Président de la République a donné des directives au </w:t>
      </w:r>
      <w:r>
        <w:t>MEPA</w:t>
      </w:r>
      <w:r w:rsidR="00086B08">
        <w:t xml:space="preserve"> et à la CNAAS où l’Etat est l’actionnaire majoritaire, de trouver un moyen de permettre à la vaste majorité des éleveurs qui pratiquent l’élevage pastoral et agro-pas</w:t>
      </w:r>
      <w:r w:rsidR="004C7865">
        <w:t>t</w:t>
      </w:r>
      <w:bookmarkStart w:id="5" w:name="_GoBack"/>
      <w:bookmarkEnd w:id="5"/>
      <w:r w:rsidR="00086B08">
        <w:t>oral d’avoir une assurance contre ces types de risque.</w:t>
      </w:r>
      <w:r w:rsidR="00FB2961">
        <w:t xml:space="preserve"> En effet, la répartition de la taille du cheptel selon le type d’élevage révélé que le système pastoral concerne 32% des bovins et 35% des petits ruminants ; et le système agro-pastoral concerne 67% des bovins et 62% des petits ruminants</w:t>
      </w:r>
      <w:r w:rsidR="004131F6">
        <w:t xml:space="preserve"> </w:t>
      </w:r>
      <w:sdt>
        <w:sdtPr>
          <w:id w:val="-436760660"/>
          <w:citation/>
        </w:sdtPr>
        <w:sdtEndPr/>
        <w:sdtContent>
          <w:r w:rsidR="004131F6">
            <w:fldChar w:fldCharType="begin"/>
          </w:r>
          <w:r w:rsidR="004131F6">
            <w:instrText xml:space="preserve"> CITATION Fal17 \l 1036 </w:instrText>
          </w:r>
          <w:r w:rsidR="004131F6">
            <w:fldChar w:fldCharType="separate"/>
          </w:r>
          <w:r w:rsidR="004131F6">
            <w:rPr>
              <w:noProof/>
            </w:rPr>
            <w:t>(Fall, 2017)</w:t>
          </w:r>
          <w:r w:rsidR="004131F6">
            <w:fldChar w:fldCharType="end"/>
          </w:r>
        </w:sdtContent>
      </w:sdt>
      <w:r w:rsidR="00FB2961">
        <w:t>. L’élevage intensif et semi-intensif qui est celui qui bénéficie actuellement le plus des produits d’assurance bétail existants ne concerne que 1% des bovins et 3%</w:t>
      </w:r>
      <w:r w:rsidR="004131F6">
        <w:t xml:space="preserve"> des petits ruminants </w:t>
      </w:r>
      <w:sdt>
        <w:sdtPr>
          <w:id w:val="1831484055"/>
          <w:citation/>
        </w:sdtPr>
        <w:sdtEndPr/>
        <w:sdtContent>
          <w:r w:rsidR="004131F6">
            <w:fldChar w:fldCharType="begin"/>
          </w:r>
          <w:r w:rsidR="004131F6">
            <w:instrText xml:space="preserve"> CITATION Fal17 \l 1036 </w:instrText>
          </w:r>
          <w:r w:rsidR="004131F6">
            <w:fldChar w:fldCharType="separate"/>
          </w:r>
          <w:r w:rsidR="004131F6">
            <w:rPr>
              <w:noProof/>
            </w:rPr>
            <w:t>(Fall, 2017)</w:t>
          </w:r>
          <w:r w:rsidR="004131F6">
            <w:fldChar w:fldCharType="end"/>
          </w:r>
        </w:sdtContent>
      </w:sdt>
      <w:r w:rsidR="004131F6">
        <w:t>.</w:t>
      </w:r>
    </w:p>
    <w:p w14:paraId="3C58ADAD" w14:textId="16B72577" w:rsidR="00086B08" w:rsidRDefault="00FB2961" w:rsidP="00086B08">
      <w:pPr>
        <w:spacing w:line="276" w:lineRule="auto"/>
        <w:jc w:val="both"/>
      </w:pPr>
      <w:r>
        <w:t>Récemment</w:t>
      </w:r>
      <w:r w:rsidR="00086B08">
        <w:t>, la CNAAS s’est lancée dans un projet de déve</w:t>
      </w:r>
      <w:r>
        <w:t>loppement de l’</w:t>
      </w:r>
      <w:r w:rsidR="00086B08">
        <w:t>assurance indicielle bétail qui apparaît à ce jour comme l’une des meilleures réponses possibles pour permettre</w:t>
      </w:r>
      <w:r>
        <w:t xml:space="preserve"> de couvrir les risques liés à la variabilité climatique, notamment la variabilité pluviométrique. </w:t>
      </w:r>
      <w:r w:rsidR="00086B08">
        <w:t xml:space="preserve">C’est dans le cadre du programme BRACED financé par la coopération Britannique (en Anglais « Building Résilience and Adaptation to </w:t>
      </w:r>
      <w:proofErr w:type="spellStart"/>
      <w:r w:rsidR="00086B08">
        <w:t>Climate</w:t>
      </w:r>
      <w:proofErr w:type="spellEnd"/>
      <w:r w:rsidR="00086B08">
        <w:t xml:space="preserve"> </w:t>
      </w:r>
      <w:proofErr w:type="spellStart"/>
      <w:r w:rsidR="00086B08">
        <w:t>Extremes</w:t>
      </w:r>
      <w:proofErr w:type="spellEnd"/>
      <w:r w:rsidR="00086B08">
        <w:t xml:space="preserve"> and </w:t>
      </w:r>
      <w:proofErr w:type="spellStart"/>
      <w:r w:rsidR="00086B08">
        <w:t>Disasters</w:t>
      </w:r>
      <w:proofErr w:type="spellEnd"/>
      <w:r w:rsidR="00086B08">
        <w:t xml:space="preserve"> » que l’une des premières études de faisabilité de l’assurance indicielle bétail au Sahel a été effectuée, notamment avec l’étude de Acting For Life d</w:t>
      </w:r>
      <w:r w:rsidR="00205891">
        <w:t>e 2016 dans le cadre du projet « </w:t>
      </w:r>
      <w:r w:rsidR="00086B08">
        <w:t xml:space="preserve">Mobilité </w:t>
      </w:r>
      <w:r w:rsidR="00205891">
        <w:t>du Bétail »</w:t>
      </w:r>
      <w:r w:rsidR="00086B08">
        <w:t xml:space="preserve">. Cette étude fut suivie d’un atelier sous régional de partage sur le thème de l’« assurance bétail pour l’élevage transhumant en Afrique de l’Ouest » organisé à Dakar les 02 et 03 Novembre 2016. L’atelier qui réunissait les acteurs publics, les acteurs privés et la Société Civile venant des pays de la sous-région, lançait ainsi le dialogue autour de la question de l’assurance bétail pour l’élevage extensif. C’est dans la continuité de ce dialogue que le programme BRACED dans sa « composante D2 », avait également organisé, en collaboration avec la CNAAS, une table ronde pour échanger sur le bilan des avancées sur ce thème au Sénégal. Cet atelier s’était tenu le Mercredi 08 Mai 2019 à Dakar. L’une des principales recommandations qui étaient clairement identifiées lors de cet atelier était la nécessité d’étudier les perceptions des éleveurs sur l’assurance bétail en général et l’assurance indicielle bétail en particulier. Cela était ressorti comme un préalable pour développer un outil qui conviendrait à leurs besoins.  </w:t>
      </w:r>
    </w:p>
    <w:p w14:paraId="310BAD53" w14:textId="216AF65F" w:rsidR="009C04B8" w:rsidRPr="009C04B8" w:rsidRDefault="00CD40F5" w:rsidP="00086B08">
      <w:pPr>
        <w:spacing w:line="276" w:lineRule="auto"/>
        <w:jc w:val="both"/>
      </w:pPr>
      <w:r>
        <w:t>En effet, les résultats avait fait</w:t>
      </w:r>
      <w:r w:rsidR="009C04B8">
        <w:t xml:space="preserve"> </w:t>
      </w:r>
      <w:r>
        <w:t>le constat</w:t>
      </w:r>
      <w:r w:rsidR="009C04B8">
        <w:t xml:space="preserve"> d’une nécessité d’analyser les attentes des éleveurs vis-à-vis de l’assurance indicielle bétail, leur perception et connaissances de l’assurance en général, ainsi que leur consentement à pay</w:t>
      </w:r>
      <w:r w:rsidR="00205891">
        <w:t>er pour l’avoir. L</w:t>
      </w:r>
      <w:r w:rsidR="009C04B8">
        <w:t xml:space="preserve">es résultats de l’atelier </w:t>
      </w:r>
      <w:r w:rsidR="00205891">
        <w:t>ont mis</w:t>
      </w:r>
      <w:r w:rsidR="009C04B8">
        <w:t xml:space="preserve"> en évidence la nécessité de </w:t>
      </w:r>
      <w:r w:rsidR="009C04B8">
        <w:lastRenderedPageBreak/>
        <w:t>mettre en place une stratégie de communication efficace pour pouvoir prochain</w:t>
      </w:r>
      <w:r w:rsidR="005B08D2">
        <w:t xml:space="preserve">ement convaincre les éleveurs à </w:t>
      </w:r>
      <w:r w:rsidR="009C04B8">
        <w:t>acheter l’assurance indicielle bétail</w:t>
      </w:r>
      <w:r w:rsidR="005B08D2">
        <w:t xml:space="preserve">. Pour cela, un point de départ inéluctable est de faire le bilan de connaissance des éleveurs par rapport à l’assurance, leur perception vis-à-vis de celle-ci, </w:t>
      </w:r>
      <w:r w:rsidR="002E518B">
        <w:t>leur préférence</w:t>
      </w:r>
      <w:r w:rsidR="005B08D2">
        <w:t xml:space="preserve"> et leurs attentes en termes de risques à couvrir et prime </w:t>
      </w:r>
      <w:r w:rsidR="002E518B">
        <w:t>à payer</w:t>
      </w:r>
      <w:r w:rsidR="005B08D2">
        <w:t xml:space="preserve"> par exemple.</w:t>
      </w:r>
    </w:p>
    <w:p w14:paraId="28051D13" w14:textId="3D1AA7ED" w:rsidR="00C24EA1" w:rsidRDefault="00C24EA1" w:rsidP="0056146E">
      <w:pPr>
        <w:pStyle w:val="Titre1"/>
        <w:numPr>
          <w:ilvl w:val="0"/>
          <w:numId w:val="1"/>
        </w:numPr>
      </w:pPr>
      <w:bookmarkStart w:id="6" w:name="_Toc17840309"/>
      <w:r>
        <w:t>Objectif</w:t>
      </w:r>
      <w:r w:rsidR="00EE3B0E">
        <w:t>s de l’étude</w:t>
      </w:r>
      <w:bookmarkEnd w:id="6"/>
    </w:p>
    <w:p w14:paraId="5C6A9A8B" w14:textId="7E9B59CF" w:rsidR="00086B08" w:rsidRDefault="00086B08" w:rsidP="00EE3B0E">
      <w:pPr>
        <w:spacing w:line="276" w:lineRule="auto"/>
        <w:jc w:val="both"/>
      </w:pPr>
      <w:r>
        <w:t xml:space="preserve">Afin de parvenir à mieux informer la préparation des modules de sensibilisation future sur l’assurance indicielle bétail, une analyse de la perception des éleveurs sur le principe de l’assurance ainsi que leur potentielle motivation et consentement pour l’acheter est primordiale. Cela permettrait à la CNAAS d’avoir une meilleure lisibilité de l’assurance pour le secteur de l’élevage pastoral et mieux informer ses futurs projets pilotes. L’étude ne remplace pas toutefois une étude de faisabilité mais pourrait permettre de la compléter. </w:t>
      </w:r>
      <w:r w:rsidR="00EE3B0E">
        <w:t>L</w:t>
      </w:r>
      <w:r w:rsidR="003053C4">
        <w:t>’</w:t>
      </w:r>
      <w:r w:rsidR="00EE3B0E">
        <w:t xml:space="preserve">objectif principal </w:t>
      </w:r>
      <w:r w:rsidR="00F3626A">
        <w:t>de cette</w:t>
      </w:r>
      <w:r w:rsidR="00EE3B0E">
        <w:t xml:space="preserve"> étude est de permettre la prise en compte d</w:t>
      </w:r>
      <w:r>
        <w:t>es réponses des éleveurs qui sont à la base dans le proces</w:t>
      </w:r>
      <w:r w:rsidR="00F3626A">
        <w:t xml:space="preserve">sus de développement des produits d’assurance </w:t>
      </w:r>
      <w:r>
        <w:t>pour l’adapter à leurs situations socio-économiques e</w:t>
      </w:r>
      <w:r w:rsidR="003053C4">
        <w:t>t à leurs aspirations communes.</w:t>
      </w:r>
    </w:p>
    <w:p w14:paraId="1FD89997" w14:textId="3307392A" w:rsidR="00A76262" w:rsidRDefault="00EE3B0E" w:rsidP="00C9063E">
      <w:pPr>
        <w:spacing w:line="276" w:lineRule="auto"/>
        <w:jc w:val="both"/>
      </w:pPr>
      <w:r>
        <w:t xml:space="preserve">Il s’agira d’effectuer </w:t>
      </w:r>
      <w:r w:rsidR="009C04B8">
        <w:t xml:space="preserve">une analyse descriptive qui a pour objet d’effectuer la typologie des éleveurs en se basant sur la manière dont ils perçoivent l’assurance indicielle bétail. </w:t>
      </w:r>
      <w:r w:rsidR="003053C4">
        <w:t xml:space="preserve">L’analyse </w:t>
      </w:r>
      <w:r w:rsidR="006C5E77">
        <w:t xml:space="preserve">utilise principalement des méthodes quantitatives, notamment des enquêtes auprès des ménages d’éleveurs, mais elle les combine également avec </w:t>
      </w:r>
      <w:r w:rsidR="009C04B8">
        <w:t>des méth</w:t>
      </w:r>
      <w:r w:rsidR="006C5E77">
        <w:t>odes qualitatives en se basant aussi</w:t>
      </w:r>
      <w:r w:rsidR="009C04B8">
        <w:t xml:space="preserve"> sur des interviews </w:t>
      </w:r>
      <w:r w:rsidR="006C5E77">
        <w:t xml:space="preserve">avec </w:t>
      </w:r>
      <w:r w:rsidR="009C04B8">
        <w:t>de</w:t>
      </w:r>
      <w:r w:rsidR="006C5E77">
        <w:t>s</w:t>
      </w:r>
      <w:r w:rsidR="009C04B8">
        <w:t xml:space="preserve"> personnes </w:t>
      </w:r>
      <w:r w:rsidR="00B126BA">
        <w:t>ressources identifiées sur le terrain</w:t>
      </w:r>
      <w:r w:rsidR="009C04B8">
        <w:t xml:space="preserve">. Les informations collectées </w:t>
      </w:r>
      <w:r w:rsidR="00A76262">
        <w:t xml:space="preserve">ont permis d’atteindre les objectifs spécifiques suivants : </w:t>
      </w:r>
    </w:p>
    <w:p w14:paraId="09D66ED5" w14:textId="7E1E5194" w:rsidR="00D765DA" w:rsidRDefault="00D765DA" w:rsidP="0056146E">
      <w:pPr>
        <w:pStyle w:val="Paragraphedeliste"/>
        <w:numPr>
          <w:ilvl w:val="0"/>
          <w:numId w:val="24"/>
        </w:numPr>
        <w:spacing w:line="276" w:lineRule="auto"/>
        <w:jc w:val="both"/>
      </w:pPr>
      <w:r>
        <w:t>Capter le niveau de connaissance de l’assurance en général par les éleveurs et plus particulièrement de l’assurance récolte et l’assurance bétail ;</w:t>
      </w:r>
    </w:p>
    <w:p w14:paraId="0BD0AB8F" w14:textId="2D6E2C56" w:rsidR="00D765DA" w:rsidRDefault="00D765DA" w:rsidP="0056146E">
      <w:pPr>
        <w:pStyle w:val="Paragraphedeliste"/>
        <w:numPr>
          <w:ilvl w:val="0"/>
          <w:numId w:val="24"/>
        </w:numPr>
        <w:spacing w:line="276" w:lineRule="auto"/>
        <w:jc w:val="both"/>
      </w:pPr>
      <w:r>
        <w:t>Identifier les chocs qu’ils subissent le plus dans le cadre de leur activités d’élevage ;</w:t>
      </w:r>
    </w:p>
    <w:p w14:paraId="76A79A22" w14:textId="4699F693" w:rsidR="00D765DA" w:rsidRDefault="00A56A83" w:rsidP="0056146E">
      <w:pPr>
        <w:pStyle w:val="Paragraphedeliste"/>
        <w:numPr>
          <w:ilvl w:val="0"/>
          <w:numId w:val="24"/>
        </w:numPr>
        <w:spacing w:line="276" w:lineRule="auto"/>
        <w:jc w:val="both"/>
      </w:pPr>
      <w:r>
        <w:t>Apprécier leur préférence entre l’assurance indicielle et l’assurance classique et la mettre en rapport avec les chocs subis,</w:t>
      </w:r>
    </w:p>
    <w:p w14:paraId="1B95513A" w14:textId="63B62B8B" w:rsidR="00A56A83" w:rsidRDefault="00A56A83" w:rsidP="0056146E">
      <w:pPr>
        <w:pStyle w:val="Paragraphedeliste"/>
        <w:numPr>
          <w:ilvl w:val="0"/>
          <w:numId w:val="24"/>
        </w:numPr>
        <w:spacing w:line="276" w:lineRule="auto"/>
        <w:jc w:val="both"/>
      </w:pPr>
      <w:r>
        <w:t>Evaluez leur niveau de consentement à payer (en FCFA) pour avoir une assurance bétail pour différents types de risques.</w:t>
      </w:r>
    </w:p>
    <w:p w14:paraId="18AB0C96" w14:textId="51783772" w:rsidR="00E4348F" w:rsidRDefault="00E4348F" w:rsidP="0056146E">
      <w:pPr>
        <w:pStyle w:val="Titre1"/>
        <w:numPr>
          <w:ilvl w:val="0"/>
          <w:numId w:val="1"/>
        </w:numPr>
      </w:pPr>
      <w:bookmarkStart w:id="7" w:name="_Toc17840310"/>
      <w:r>
        <w:t>Revue de la littérature</w:t>
      </w:r>
      <w:bookmarkEnd w:id="7"/>
    </w:p>
    <w:p w14:paraId="63A387EC" w14:textId="77777777" w:rsidR="00E4348F" w:rsidRPr="00E4348F" w:rsidRDefault="00E4348F" w:rsidP="0056146E">
      <w:pPr>
        <w:pStyle w:val="Titre2"/>
        <w:numPr>
          <w:ilvl w:val="0"/>
          <w:numId w:val="6"/>
        </w:numPr>
      </w:pPr>
      <w:bookmarkStart w:id="8" w:name="_Toc17840311"/>
      <w:bookmarkStart w:id="9" w:name="_Toc418687166"/>
      <w:bookmarkStart w:id="10" w:name="_Toc8145575"/>
      <w:bookmarkStart w:id="11" w:name="_Toc9279194"/>
      <w:r w:rsidRPr="00E4348F">
        <w:t>Littérature sur les risques et stratégies d’adaptation des éleveurs en élevage pastoral</w:t>
      </w:r>
      <w:bookmarkEnd w:id="8"/>
    </w:p>
    <w:p w14:paraId="13A25A54" w14:textId="79FE70DE" w:rsidR="00E4348F" w:rsidRPr="00E4348F" w:rsidRDefault="00E4348F" w:rsidP="00E4348F">
      <w:pPr>
        <w:spacing w:line="276" w:lineRule="auto"/>
        <w:jc w:val="both"/>
      </w:pPr>
      <w:r w:rsidRPr="00E4348F">
        <w:t xml:space="preserve">Dans la littérature, plusieurs approches sont adoptées pour caractériser tous les risques auxquels l’élevage pastoral est confronté </w:t>
      </w:r>
      <w:sdt>
        <w:sdtPr>
          <w:id w:val="1315069310"/>
          <w:citation/>
        </w:sdtPr>
        <w:sdtEndPr/>
        <w:sdtContent>
          <w:r w:rsidRPr="00E4348F">
            <w:fldChar w:fldCharType="begin"/>
          </w:r>
          <w:r w:rsidRPr="00E4348F">
            <w:instrText xml:space="preserve"> CITATION Bol97 \l 1036 </w:instrText>
          </w:r>
          <w:r w:rsidRPr="00E4348F">
            <w:fldChar w:fldCharType="separate"/>
          </w:r>
          <w:r w:rsidR="004131F6">
            <w:rPr>
              <w:noProof/>
            </w:rPr>
            <w:t>(Bollig, 1997)</w:t>
          </w:r>
          <w:r w:rsidRPr="00E4348F">
            <w:fldChar w:fldCharType="end"/>
          </w:r>
        </w:sdtContent>
      </w:sdt>
      <w:r w:rsidRPr="00E4348F">
        <w:t>. Par exemple, dans le cadre de la plateforme pour la gestion des risques agricoles (</w:t>
      </w:r>
      <w:r w:rsidRPr="00E4348F">
        <w:rPr>
          <w:i/>
        </w:rPr>
        <w:t xml:space="preserve">Platform for Agricultural </w:t>
      </w:r>
      <w:proofErr w:type="spellStart"/>
      <w:r w:rsidRPr="00E4348F">
        <w:rPr>
          <w:i/>
        </w:rPr>
        <w:t>Risk</w:t>
      </w:r>
      <w:proofErr w:type="spellEnd"/>
      <w:r w:rsidRPr="00E4348F">
        <w:rPr>
          <w:i/>
        </w:rPr>
        <w:t xml:space="preserve"> Management</w:t>
      </w:r>
      <w:r w:rsidRPr="00E4348F">
        <w:t xml:space="preserve"> - PARM) les risques agricoles y compris pour l’élevage sont divisés en cinq catégories : les risques de production, les risques de marché, les risques anthropiques, les risques financiers et les risques institutionnels </w:t>
      </w:r>
      <w:sdt>
        <w:sdtPr>
          <w:id w:val="3323330"/>
          <w:citation/>
        </w:sdtPr>
        <w:sdtEndPr/>
        <w:sdtContent>
          <w:r w:rsidRPr="00E4348F">
            <w:fldChar w:fldCharType="begin"/>
          </w:r>
          <w:r w:rsidRPr="00E4348F">
            <w:instrText xml:space="preserve"> CITATION PAR17 \l 1036 </w:instrText>
          </w:r>
          <w:r w:rsidRPr="00E4348F">
            <w:fldChar w:fldCharType="separate"/>
          </w:r>
          <w:r w:rsidR="004131F6">
            <w:rPr>
              <w:noProof/>
            </w:rPr>
            <w:t>(PARM, 2017)</w:t>
          </w:r>
          <w:r w:rsidRPr="00E4348F">
            <w:fldChar w:fldCharType="end"/>
          </w:r>
        </w:sdtContent>
      </w:sdt>
      <w:r w:rsidRPr="00E4348F">
        <w:t xml:space="preserve">. D’autres auteurs comme </w:t>
      </w:r>
      <w:proofErr w:type="spellStart"/>
      <w:r w:rsidRPr="00E4348F">
        <w:t>Toutain</w:t>
      </w:r>
      <w:proofErr w:type="spellEnd"/>
      <w:r w:rsidRPr="00E4348F">
        <w:t xml:space="preserve"> (2001) identifient les risques concernant l’intégrité des animaux, ceux qui concernent les personnes physiques et enfin ceux qui concernent les droits d’accès aux ressources naturels et les relations sociales. Dans cette revue de la littérature, nous revenons sur les risques humains, les risques qui concernent le troupeau et les risques relatifs aux relations sociales tout en faisant ressortir les stratégies d’adaptions identifiées. Cela nous permettra de les mettre en rapport avec nos résultats empiriques. </w:t>
      </w:r>
    </w:p>
    <w:p w14:paraId="56700A14" w14:textId="77777777" w:rsidR="00E4348F" w:rsidRPr="00E4348F" w:rsidRDefault="00E4348F" w:rsidP="0056146E">
      <w:pPr>
        <w:pStyle w:val="Titre3"/>
        <w:numPr>
          <w:ilvl w:val="0"/>
          <w:numId w:val="7"/>
        </w:numPr>
      </w:pPr>
      <w:bookmarkStart w:id="12" w:name="_Toc17840312"/>
      <w:r w:rsidRPr="00E4348F">
        <w:lastRenderedPageBreak/>
        <w:t>Les risques humains</w:t>
      </w:r>
      <w:bookmarkEnd w:id="12"/>
    </w:p>
    <w:p w14:paraId="233F78A2" w14:textId="083BA48C" w:rsidR="00E4348F" w:rsidRPr="00E4348F" w:rsidRDefault="00E4348F" w:rsidP="00E4348F">
      <w:pPr>
        <w:spacing w:line="276" w:lineRule="auto"/>
        <w:jc w:val="both"/>
      </w:pPr>
      <w:r w:rsidRPr="00E4348F">
        <w:t>Ce type de risque concerne directement le pasteur et sa famille. Elle se traduit par la survenance d’un élément qui pourrait menacer leur survie qui dépend en majoritairement de l’élevage et de ses dérivés. Basé sur la mobilité des personnes et du bétail, la pratique de l’élevage pastoral expose les membres de l’exploitation familiale aux risques tels que la rupture d’approvisionnement en vivre, le manque d’accès à des soins de santé ou encore la sécurité physique des membres du ménage. Pour faire face à ce risque, les pasteurs développent une stratégie basée principalement sur la diversification des activités économiques (pratique de l’agriculture, recours à des emplois salariés en fonction des opportunités), du cheptel (mouton, vache, chèvre poule), des produits d’élevage</w:t>
      </w:r>
      <w:sdt>
        <w:sdtPr>
          <w:id w:val="452138971"/>
          <w:citation/>
        </w:sdtPr>
        <w:sdtEndPr/>
        <w:sdtContent>
          <w:r w:rsidRPr="00E4348F">
            <w:fldChar w:fldCharType="begin"/>
          </w:r>
          <w:r w:rsidRPr="00E4348F">
            <w:instrText xml:space="preserve"> CITATION Swa \l 1036 </w:instrText>
          </w:r>
          <w:r w:rsidRPr="00E4348F">
            <w:fldChar w:fldCharType="separate"/>
          </w:r>
          <w:r w:rsidR="004131F6">
            <w:rPr>
              <w:noProof/>
            </w:rPr>
            <w:t xml:space="preserve"> (Swallow, 1993)</w:t>
          </w:r>
          <w:r w:rsidRPr="00E4348F">
            <w:fldChar w:fldCharType="end"/>
          </w:r>
        </w:sdtContent>
      </w:sdt>
      <w:r w:rsidRPr="00E4348F">
        <w:t>.</w:t>
      </w:r>
    </w:p>
    <w:p w14:paraId="5503B0BF" w14:textId="1AD085C2" w:rsidR="00E4348F" w:rsidRPr="00E4348F" w:rsidRDefault="00E4348F" w:rsidP="0056146E">
      <w:pPr>
        <w:pStyle w:val="Titre3"/>
        <w:numPr>
          <w:ilvl w:val="0"/>
          <w:numId w:val="7"/>
        </w:numPr>
      </w:pPr>
      <w:bookmarkStart w:id="13" w:name="_Toc17840313"/>
      <w:r w:rsidRPr="00E4348F">
        <w:t>Les risques affectant le troupeau</w:t>
      </w:r>
      <w:bookmarkEnd w:id="13"/>
    </w:p>
    <w:p w14:paraId="09A07DAF" w14:textId="42A91A4B" w:rsidR="00E4348F" w:rsidRPr="00E4348F" w:rsidRDefault="00E4348F" w:rsidP="0056146E">
      <w:pPr>
        <w:pStyle w:val="Paragraphedeliste"/>
        <w:numPr>
          <w:ilvl w:val="0"/>
          <w:numId w:val="8"/>
        </w:numPr>
        <w:spacing w:after="0" w:line="276" w:lineRule="auto"/>
        <w:jc w:val="both"/>
        <w:rPr>
          <w:b/>
          <w:i/>
        </w:rPr>
      </w:pPr>
      <w:r w:rsidRPr="00E4348F">
        <w:rPr>
          <w:b/>
          <w:i/>
        </w:rPr>
        <w:t xml:space="preserve">Les risques liés à l’affouragement </w:t>
      </w:r>
    </w:p>
    <w:p w14:paraId="6D02646F" w14:textId="77777777" w:rsidR="00E4348F" w:rsidRPr="00E4348F" w:rsidRDefault="00E4348F" w:rsidP="00E4348F">
      <w:pPr>
        <w:spacing w:after="0" w:line="276" w:lineRule="auto"/>
        <w:jc w:val="both"/>
      </w:pPr>
      <w:r w:rsidRPr="00E4348F">
        <w:t xml:space="preserve">La survie du troupeau dépend en grande partie de la disponibilité d’un fourrage de qualité à une quantité satisfaisante durant toutes les périodes.  Les risques liés à l’indisponibilité du pâturage sont : </w:t>
      </w:r>
    </w:p>
    <w:p w14:paraId="0FD3E991" w14:textId="77777777" w:rsidR="00E4348F" w:rsidRPr="00E4348F" w:rsidRDefault="00E4348F" w:rsidP="0056146E">
      <w:pPr>
        <w:numPr>
          <w:ilvl w:val="0"/>
          <w:numId w:val="5"/>
        </w:numPr>
        <w:spacing w:after="0" w:line="276" w:lineRule="auto"/>
        <w:jc w:val="both"/>
      </w:pPr>
      <w:r w:rsidRPr="00E4348F">
        <w:t xml:space="preserve">Risques ordinaires liés à l’insuffisance de pâturage nécessaire pour couvrir les besoins de l’animal durant une journée </w:t>
      </w:r>
    </w:p>
    <w:p w14:paraId="4FB4213D" w14:textId="77777777" w:rsidR="00E4348F" w:rsidRPr="00E4348F" w:rsidRDefault="00E4348F" w:rsidP="0056146E">
      <w:pPr>
        <w:numPr>
          <w:ilvl w:val="0"/>
          <w:numId w:val="5"/>
        </w:numPr>
        <w:spacing w:after="0" w:line="276" w:lineRule="auto"/>
        <w:jc w:val="both"/>
      </w:pPr>
      <w:r w:rsidRPr="00E4348F">
        <w:t xml:space="preserve">Risques exceptionnels de pâturages liés à l’insuffisance de pâturage causée par la sécheresse ou les feux de brousse </w:t>
      </w:r>
    </w:p>
    <w:p w14:paraId="4C6BF887" w14:textId="77777777" w:rsidR="00E4348F" w:rsidRPr="00E4348F" w:rsidRDefault="00E4348F" w:rsidP="0056146E">
      <w:pPr>
        <w:numPr>
          <w:ilvl w:val="0"/>
          <w:numId w:val="5"/>
        </w:numPr>
        <w:spacing w:after="0" w:line="276" w:lineRule="auto"/>
        <w:jc w:val="both"/>
      </w:pPr>
      <w:r w:rsidRPr="00E4348F">
        <w:t>Risques à long terme : il est structurel, lié au manque de pâturage causé par une dégradation poussée des terres ou l’évolution du statut terre (passage d’une zone de pâturage à un zone de culture ou d’habitation).</w:t>
      </w:r>
    </w:p>
    <w:p w14:paraId="652A24F0" w14:textId="77777777" w:rsidR="00E4348F" w:rsidRPr="00E4348F" w:rsidRDefault="00E4348F" w:rsidP="0056146E">
      <w:pPr>
        <w:numPr>
          <w:ilvl w:val="0"/>
          <w:numId w:val="5"/>
        </w:numPr>
        <w:spacing w:after="0" w:line="276" w:lineRule="auto"/>
        <w:jc w:val="both"/>
      </w:pPr>
      <w:r w:rsidRPr="00E4348F">
        <w:t xml:space="preserve">La transhumance est la principale stratégie développée par pasteur de faire face à risques liés au manque lié l’affouragement.   </w:t>
      </w:r>
    </w:p>
    <w:p w14:paraId="1CD7F97C" w14:textId="66573B20" w:rsidR="00E4348F" w:rsidRPr="00E4348F" w:rsidRDefault="00E4348F" w:rsidP="00E4348F">
      <w:pPr>
        <w:spacing w:line="276" w:lineRule="auto"/>
        <w:jc w:val="both"/>
      </w:pPr>
      <w:r w:rsidRPr="00E4348F">
        <w:t xml:space="preserve">La transhumance est la principale stratégie développée par les pasteurs pour faire face à des risques liés au manque lié l’affouragement </w:t>
      </w:r>
      <w:sdt>
        <w:sdtPr>
          <w:id w:val="-1094323366"/>
          <w:citation/>
        </w:sdtPr>
        <w:sdtEndPr/>
        <w:sdtContent>
          <w:r w:rsidRPr="00E4348F">
            <w:fldChar w:fldCharType="begin"/>
          </w:r>
          <w:r w:rsidRPr="00E4348F">
            <w:instrText xml:space="preserve"> CITATION Tur14 \l 1036 </w:instrText>
          </w:r>
          <w:r w:rsidRPr="00E4348F">
            <w:fldChar w:fldCharType="separate"/>
          </w:r>
          <w:r w:rsidR="004131F6">
            <w:rPr>
              <w:noProof/>
            </w:rPr>
            <w:t>(Turner, McPeack, &amp; Ayantunde, 2014)</w:t>
          </w:r>
          <w:r w:rsidRPr="00E4348F">
            <w:fldChar w:fldCharType="end"/>
          </w:r>
        </w:sdtContent>
      </w:sdt>
      <w:r w:rsidRPr="00E4348F">
        <w:t xml:space="preserve">.  </w:t>
      </w:r>
    </w:p>
    <w:p w14:paraId="248ACBE9" w14:textId="221DDCF9" w:rsidR="00E4348F" w:rsidRPr="00E4348F" w:rsidRDefault="00E4348F" w:rsidP="0056146E">
      <w:pPr>
        <w:pStyle w:val="Paragraphedeliste"/>
        <w:numPr>
          <w:ilvl w:val="0"/>
          <w:numId w:val="9"/>
        </w:numPr>
        <w:spacing w:after="0" w:line="276" w:lineRule="auto"/>
        <w:jc w:val="both"/>
        <w:rPr>
          <w:b/>
          <w:i/>
        </w:rPr>
      </w:pPr>
      <w:r w:rsidRPr="00E4348F">
        <w:rPr>
          <w:b/>
          <w:i/>
        </w:rPr>
        <w:t>Les difficultés liées à l’accès à l’eau</w:t>
      </w:r>
    </w:p>
    <w:p w14:paraId="7BBD7685" w14:textId="262F9FF3" w:rsidR="00E4348F" w:rsidRPr="00E4348F" w:rsidRDefault="00E4348F" w:rsidP="00E4348F">
      <w:pPr>
        <w:spacing w:after="0" w:line="276" w:lineRule="auto"/>
        <w:jc w:val="both"/>
      </w:pPr>
      <w:r w:rsidRPr="00E4348F">
        <w:t xml:space="preserve">L’eau est un facteur indispensable à la pratique de l’élevage. Le manque d’eau dans une zone expose les éleveurs à des risques qui freinent le développement de l’élevage et donc l’augmentation de leur revenu et leur revenu </w:t>
      </w:r>
      <w:sdt>
        <w:sdtPr>
          <w:id w:val="1652640009"/>
          <w:citation/>
        </w:sdtPr>
        <w:sdtEndPr/>
        <w:sdtContent>
          <w:r w:rsidRPr="00E4348F">
            <w:fldChar w:fldCharType="begin"/>
          </w:r>
          <w:r w:rsidRPr="00E4348F">
            <w:instrText xml:space="preserve"> CITATION Opi11 \l 1036 </w:instrText>
          </w:r>
          <w:r w:rsidRPr="00E4348F">
            <w:fldChar w:fldCharType="separate"/>
          </w:r>
          <w:r w:rsidR="004131F6">
            <w:rPr>
              <w:noProof/>
            </w:rPr>
            <w:t>(Opiyo, Mureithi, &amp; Ngugi, 2011)</w:t>
          </w:r>
          <w:r w:rsidRPr="00E4348F">
            <w:fldChar w:fldCharType="end"/>
          </w:r>
        </w:sdtContent>
      </w:sdt>
      <w:r w:rsidRPr="00E4348F">
        <w:t xml:space="preserve">. Les risques liés au manque de pâturage et celui liés manque d’eau sont étroitement liés. La faible quantité de pluies ou sa mauvaise répartition dans le temps et dans l’espace s’accompagne de la rareté de du fourrage.  Ces deux risques constituent aujourd’hui les principaux obstacles qui freinent le développement de l’élevage pastoral et l’amélioration des conditions des conditions de vie des éleveurs. Fort de ses impacts négatifs, les pasteurs font recours à la transhumance ou s’installe autour des points d’eau pour sécuriser l’accès à l’eau pour leur troupeau </w:t>
      </w:r>
      <w:sdt>
        <w:sdtPr>
          <w:id w:val="-238716902"/>
          <w:citation/>
        </w:sdtPr>
        <w:sdtEndPr/>
        <w:sdtContent>
          <w:r w:rsidRPr="00E4348F">
            <w:fldChar w:fldCharType="begin"/>
          </w:r>
          <w:r w:rsidRPr="00E4348F">
            <w:instrText xml:space="preserve"> CITATION Tur14 \l 1036 </w:instrText>
          </w:r>
          <w:r w:rsidRPr="00E4348F">
            <w:fldChar w:fldCharType="separate"/>
          </w:r>
          <w:r w:rsidR="004131F6">
            <w:rPr>
              <w:noProof/>
            </w:rPr>
            <w:t>(Turner, McPeack, &amp; Ayantunde, 2014)</w:t>
          </w:r>
          <w:r w:rsidRPr="00E4348F">
            <w:fldChar w:fldCharType="end"/>
          </w:r>
        </w:sdtContent>
      </w:sdt>
      <w:r w:rsidRPr="00E4348F">
        <w:t>.</w:t>
      </w:r>
    </w:p>
    <w:p w14:paraId="40D8D03B" w14:textId="77777777" w:rsidR="00E4348F" w:rsidRDefault="00E4348F" w:rsidP="0056146E">
      <w:pPr>
        <w:pStyle w:val="Paragraphedeliste"/>
        <w:numPr>
          <w:ilvl w:val="0"/>
          <w:numId w:val="10"/>
        </w:numPr>
        <w:spacing w:after="0" w:line="276" w:lineRule="auto"/>
        <w:jc w:val="both"/>
        <w:rPr>
          <w:b/>
          <w:i/>
        </w:rPr>
      </w:pPr>
      <w:r w:rsidRPr="00E4348F">
        <w:rPr>
          <w:b/>
          <w:i/>
        </w:rPr>
        <w:t>Les risques liés à la santé animale</w:t>
      </w:r>
    </w:p>
    <w:p w14:paraId="67A1C639" w14:textId="17C7DD29" w:rsidR="00E4348F" w:rsidRPr="00E4348F" w:rsidRDefault="00E4348F" w:rsidP="00E4348F">
      <w:pPr>
        <w:spacing w:after="0" w:line="276" w:lineRule="auto"/>
        <w:jc w:val="both"/>
        <w:rPr>
          <w:b/>
          <w:i/>
        </w:rPr>
      </w:pPr>
      <w:r w:rsidRPr="00E4348F">
        <w:t>Le déplacement de l’éleveur et de son bétail à la recherche d’eau et de pâturage occasionne plusieurs risques liés à la santé du bétail</w:t>
      </w:r>
      <w:sdt>
        <w:sdtPr>
          <w:id w:val="1337958120"/>
          <w:citation/>
        </w:sdtPr>
        <w:sdtEndPr/>
        <w:sdtContent>
          <w:r w:rsidRPr="00E4348F">
            <w:fldChar w:fldCharType="begin"/>
          </w:r>
          <w:r w:rsidRPr="00E4348F">
            <w:instrText xml:space="preserve"> CITATION Tou01 \l 1036 </w:instrText>
          </w:r>
          <w:r w:rsidRPr="00E4348F">
            <w:fldChar w:fldCharType="separate"/>
          </w:r>
          <w:r w:rsidR="004131F6">
            <w:rPr>
              <w:noProof/>
            </w:rPr>
            <w:t xml:space="preserve"> (Toutain, 2001)</w:t>
          </w:r>
          <w:r w:rsidRPr="00E4348F">
            <w:fldChar w:fldCharType="end"/>
          </w:r>
        </w:sdtContent>
      </w:sdt>
      <w:r w:rsidRPr="00E4348F">
        <w:t>. La survenance d’une épizootie peut décimer très rapidement le troupeau et exposer les éleveurs pastoraux et leur famille à une situation de précarité extrême.  Les stratégies d’adaptation développées sont le recourt à un vétérinaire, l’achat de médicaments et l’auto traitement.  La recherche d’informations sanitaires sur les zones de destination est aussi une pratique développée par les éleveurs. Cela leur permet d’anticiper sur leur choix des zones de transhumance.</w:t>
      </w:r>
    </w:p>
    <w:p w14:paraId="08237DA9" w14:textId="77777777" w:rsidR="00E4348F" w:rsidRDefault="00E4348F" w:rsidP="0056146E">
      <w:pPr>
        <w:pStyle w:val="Paragraphedeliste"/>
        <w:numPr>
          <w:ilvl w:val="0"/>
          <w:numId w:val="11"/>
        </w:numPr>
        <w:spacing w:after="0" w:line="276" w:lineRule="auto"/>
        <w:jc w:val="both"/>
        <w:rPr>
          <w:b/>
          <w:i/>
        </w:rPr>
      </w:pPr>
      <w:r w:rsidRPr="00E4348F">
        <w:rPr>
          <w:b/>
          <w:i/>
        </w:rPr>
        <w:t>L’attaque d’animaux prédateurs</w:t>
      </w:r>
    </w:p>
    <w:p w14:paraId="270869FD" w14:textId="1E6E8777" w:rsidR="00E4348F" w:rsidRPr="00E4348F" w:rsidRDefault="00E4348F" w:rsidP="00E4348F">
      <w:pPr>
        <w:spacing w:after="0" w:line="276" w:lineRule="auto"/>
        <w:jc w:val="both"/>
        <w:rPr>
          <w:b/>
          <w:i/>
        </w:rPr>
      </w:pPr>
      <w:r w:rsidRPr="00E4348F">
        <w:lastRenderedPageBreak/>
        <w:t>A l’image des maladies animales, la pratique de la transhumance expose le bétail à des risques liés à l’attaque des prédateurs. Ce type de risque entraine des pertes et laisse parfois des séquelles qui dévalorisent les sujets concernés. Face à ce type de risque, les éleveurs développent des stratégies d’adaptation basée sur le renforcement de la vigilance et de la veille</w:t>
      </w:r>
      <w:sdt>
        <w:sdtPr>
          <w:id w:val="-1647887897"/>
          <w:citation/>
        </w:sdtPr>
        <w:sdtEndPr/>
        <w:sdtContent>
          <w:r w:rsidRPr="00E4348F">
            <w:fldChar w:fldCharType="begin"/>
          </w:r>
          <w:r w:rsidRPr="00E4348F">
            <w:instrText xml:space="preserve"> CITATION Tou01 \l 1036 </w:instrText>
          </w:r>
          <w:r w:rsidRPr="00E4348F">
            <w:fldChar w:fldCharType="separate"/>
          </w:r>
          <w:r w:rsidR="004131F6">
            <w:rPr>
              <w:noProof/>
            </w:rPr>
            <w:t xml:space="preserve"> (Toutain, 2001)</w:t>
          </w:r>
          <w:r w:rsidRPr="00E4348F">
            <w:fldChar w:fldCharType="end"/>
          </w:r>
        </w:sdtContent>
      </w:sdt>
      <w:r w:rsidRPr="00E4348F">
        <w:t>.</w:t>
      </w:r>
    </w:p>
    <w:p w14:paraId="08D6D832" w14:textId="1E7D7A6D" w:rsidR="00E4348F" w:rsidRPr="00E4348F" w:rsidRDefault="00E4348F" w:rsidP="0056146E">
      <w:pPr>
        <w:pStyle w:val="Titre2"/>
        <w:numPr>
          <w:ilvl w:val="0"/>
          <w:numId w:val="7"/>
        </w:numPr>
      </w:pPr>
      <w:bookmarkStart w:id="14" w:name="_Toc17840314"/>
      <w:r w:rsidRPr="00E4348F">
        <w:t>Risques liés aux tensions sociales et problèmes de sécurité</w:t>
      </w:r>
      <w:bookmarkEnd w:id="14"/>
    </w:p>
    <w:p w14:paraId="35309C01" w14:textId="0B972D58" w:rsidR="00E4348F" w:rsidRPr="00E4348F" w:rsidRDefault="00E4348F" w:rsidP="00E4348F">
      <w:pPr>
        <w:spacing w:line="276" w:lineRule="auto"/>
        <w:jc w:val="both"/>
      </w:pPr>
      <w:r w:rsidRPr="00E4348F">
        <w:t>Les pressions fortes qui sont exercées sur les terres à cause</w:t>
      </w:r>
      <w:r w:rsidR="002012C5">
        <w:t xml:space="preserve"> de la croissance démographique</w:t>
      </w:r>
      <w:r w:rsidRPr="00E4348F">
        <w:t xml:space="preserve"> et la nécessité de trouver des terres agricoles supplémentaires se sont soldées dans la plupart des pays du Sahel par une réduction des terres pastorales. A cela s’ajoute le fait que l’élevage pastoral n’est pas considéré pour la plupart des pays du Sahel comme une forme de mise en valeur des terres et donc les éleveurs ont des droits d’accès secondaires à ceux-ci. La priorité est accordée ainsi aux agriculteurs et les éleveurs sont relégués au second plan [</w:t>
      </w:r>
      <w:sdt>
        <w:sdtPr>
          <w:id w:val="-888806702"/>
          <w:citation/>
        </w:sdtPr>
        <w:sdtEndPr/>
        <w:sdtContent>
          <w:r w:rsidRPr="00E4348F">
            <w:fldChar w:fldCharType="begin"/>
          </w:r>
          <w:r w:rsidRPr="00E4348F">
            <w:instrText xml:space="preserve"> CITATION Daf02 \l 1036 </w:instrText>
          </w:r>
          <w:r w:rsidRPr="00E4348F">
            <w:fldChar w:fldCharType="separate"/>
          </w:r>
          <w:r w:rsidR="004131F6">
            <w:rPr>
              <w:noProof/>
            </w:rPr>
            <w:t xml:space="preserve"> (Dafinger &amp; Pelican, 2002)</w:t>
          </w:r>
          <w:r w:rsidRPr="00E4348F">
            <w:fldChar w:fldCharType="end"/>
          </w:r>
        </w:sdtContent>
      </w:sdt>
      <w:sdt>
        <w:sdtPr>
          <w:id w:val="264586658"/>
          <w:citation/>
        </w:sdtPr>
        <w:sdtEndPr/>
        <w:sdtContent>
          <w:r w:rsidRPr="00E4348F">
            <w:fldChar w:fldCharType="begin"/>
          </w:r>
          <w:r w:rsidRPr="00E4348F">
            <w:instrText xml:space="preserve"> CITATION She08 \l 1036 </w:instrText>
          </w:r>
          <w:r w:rsidRPr="00E4348F">
            <w:fldChar w:fldCharType="separate"/>
          </w:r>
          <w:r w:rsidR="004131F6">
            <w:rPr>
              <w:noProof/>
            </w:rPr>
            <w:t xml:space="preserve"> (Shettima &amp; Tar, 2008)</w:t>
          </w:r>
          <w:r w:rsidRPr="00E4348F">
            <w:fldChar w:fldCharType="end"/>
          </w:r>
        </w:sdtContent>
      </w:sdt>
      <w:r w:rsidR="002012C5">
        <w:t xml:space="preserve">]. C’est ainsi que les </w:t>
      </w:r>
      <w:r w:rsidRPr="00E4348F">
        <w:t xml:space="preserve">risques de conflits avec les éleveurs pour des problèmes d’accès à la terre ne manquent pas dans la plupart des zones pastorales et agro-pastorales. Ce type de risque est très fréquent surtout dans les zones de pâturage où les autochtones sont souvent victimes des attaques des troupeaux. En plus des risquez liés aux problèmes entre agriculteur et éleveur, il faut aussi noter les risques liés aux conflits armés, occasionnant une situation d’insécurité pour la transhumance. Les stratégies développées sont basées sur la concertation entre agriculteurs et éleveurs pour s’accorder sur le découpage fonctionnel de l’espace (zone de culture et zone de pâturage). </w:t>
      </w:r>
    </w:p>
    <w:p w14:paraId="24DDA1CA" w14:textId="5E29B255" w:rsidR="00E4348F" w:rsidRPr="00E4348F" w:rsidRDefault="00E4348F" w:rsidP="0056146E">
      <w:pPr>
        <w:pStyle w:val="Titre2"/>
        <w:numPr>
          <w:ilvl w:val="0"/>
          <w:numId w:val="6"/>
        </w:numPr>
      </w:pPr>
      <w:bookmarkStart w:id="15" w:name="_Toc17840315"/>
      <w:r w:rsidRPr="00E4348F">
        <w:t>Littérature sur les déterminants de la souscription à l’assurance indicielle bétail</w:t>
      </w:r>
      <w:bookmarkEnd w:id="15"/>
    </w:p>
    <w:p w14:paraId="65948A89" w14:textId="7FEC82E0" w:rsidR="00E4348F" w:rsidRPr="00E4348F" w:rsidRDefault="00E4348F" w:rsidP="00E4348F">
      <w:pPr>
        <w:spacing w:line="276" w:lineRule="auto"/>
        <w:jc w:val="both"/>
      </w:pPr>
      <w:r w:rsidRPr="00E4348F">
        <w:t xml:space="preserve">Dans un contexte de risque de production élevé, la littérature a montré que les producteurs en milieu rural choisissent des niveaux d’investissement faibles dans diverses activités plutôt que des investissements rentables mais risqués. Cela leur permet d’avoir un flux de revenu certes faibles, mais plus stable </w:t>
      </w:r>
      <w:sdt>
        <w:sdtPr>
          <w:id w:val="-82455171"/>
          <w:citation/>
        </w:sdtPr>
        <w:sdtEndPr/>
        <w:sdtContent>
          <w:r w:rsidRPr="00E4348F">
            <w:fldChar w:fldCharType="begin"/>
          </w:r>
          <w:r w:rsidRPr="00E4348F">
            <w:instrText xml:space="preserve"> CITATION Mor95 \l 1036 </w:instrText>
          </w:r>
          <w:r w:rsidRPr="00E4348F">
            <w:fldChar w:fldCharType="separate"/>
          </w:r>
          <w:r w:rsidR="004131F6">
            <w:rPr>
              <w:noProof/>
            </w:rPr>
            <w:t>(Morduch, 1995)</w:t>
          </w:r>
          <w:r w:rsidRPr="00E4348F">
            <w:fldChar w:fldCharType="end"/>
          </w:r>
        </w:sdtContent>
      </w:sdt>
      <w:r w:rsidRPr="00E4348F">
        <w:t>. Dans ce contexte il n’est pas certain que les producteurs exposés à des niveaux de risque élevés vont s’assurer car cela implique également une augmentation du coût des investissements.</w:t>
      </w:r>
    </w:p>
    <w:p w14:paraId="0E93A6E7" w14:textId="77777777" w:rsidR="00E4348F" w:rsidRPr="00E4348F" w:rsidRDefault="00E4348F" w:rsidP="00E4348F">
      <w:pPr>
        <w:spacing w:line="276" w:lineRule="auto"/>
        <w:jc w:val="both"/>
        <w:rPr>
          <w:b/>
          <w:bCs/>
        </w:rPr>
        <w:sectPr w:rsidR="00E4348F" w:rsidRPr="00E4348F" w:rsidSect="00E4348F">
          <w:pgSz w:w="11906" w:h="16838"/>
          <w:pgMar w:top="1417" w:right="1417" w:bottom="1417" w:left="1417" w:header="708" w:footer="708" w:gutter="0"/>
          <w:cols w:space="708"/>
          <w:titlePg/>
          <w:docGrid w:linePitch="360"/>
        </w:sectPr>
      </w:pPr>
      <w:bookmarkStart w:id="16" w:name="_Toc418687167"/>
      <w:bookmarkStart w:id="17" w:name="_Toc8145576"/>
      <w:bookmarkEnd w:id="9"/>
      <w:bookmarkEnd w:id="10"/>
      <w:bookmarkEnd w:id="11"/>
    </w:p>
    <w:p w14:paraId="5176AC6E" w14:textId="77777777" w:rsidR="00E4348F" w:rsidRPr="00E4348F" w:rsidRDefault="00E4348F" w:rsidP="0056146E">
      <w:pPr>
        <w:pStyle w:val="Titre3"/>
        <w:numPr>
          <w:ilvl w:val="0"/>
          <w:numId w:val="12"/>
        </w:numPr>
      </w:pPr>
      <w:bookmarkStart w:id="18" w:name="_Toc418687168"/>
      <w:bookmarkStart w:id="19" w:name="_Toc9279196"/>
      <w:bookmarkStart w:id="20" w:name="_Toc17840316"/>
      <w:bookmarkEnd w:id="16"/>
      <w:bookmarkEnd w:id="17"/>
      <w:r w:rsidRPr="00E4348F">
        <w:lastRenderedPageBreak/>
        <w:t>Le niveau de richesse des éleveurs</w:t>
      </w:r>
      <w:bookmarkEnd w:id="18"/>
      <w:bookmarkEnd w:id="19"/>
      <w:bookmarkEnd w:id="20"/>
    </w:p>
    <w:p w14:paraId="50C1E0DC" w14:textId="3E3B9A07" w:rsidR="00E4348F" w:rsidRPr="00E4348F" w:rsidRDefault="00E4348F" w:rsidP="00E4348F">
      <w:pPr>
        <w:spacing w:line="276" w:lineRule="auto"/>
        <w:jc w:val="both"/>
      </w:pPr>
      <w:r w:rsidRPr="00E4348F">
        <w:t>Dans la littérature, il est facile de retrouver des résultats qui montrent que lorsque l’assurance est proposée aux producteurs, les moins pauvres l’achètent plus que les producteurs les plus pauvres. C’est notamment le cas de l’assurance indicielle, pour laquelle le risque de base peut empirer une situation de perte ou améliorer un gain</w:t>
      </w:r>
      <w:sdt>
        <w:sdtPr>
          <w:id w:val="1638837416"/>
          <w:citation/>
        </w:sdtPr>
        <w:sdtEndPr/>
        <w:sdtContent>
          <w:r w:rsidRPr="00E4348F">
            <w:fldChar w:fldCharType="begin"/>
          </w:r>
          <w:r w:rsidRPr="00E4348F">
            <w:instrText xml:space="preserve"> CITATION Cla16 \l 1036 </w:instrText>
          </w:r>
          <w:r w:rsidRPr="00E4348F">
            <w:fldChar w:fldCharType="separate"/>
          </w:r>
          <w:r w:rsidR="004131F6">
            <w:rPr>
              <w:noProof/>
            </w:rPr>
            <w:t xml:space="preserve"> (Clarke, 2016)</w:t>
          </w:r>
          <w:r w:rsidRPr="00E4348F">
            <w:fldChar w:fldCharType="end"/>
          </w:r>
        </w:sdtContent>
      </w:sdt>
      <w:r w:rsidRPr="00E4348F">
        <w:t>. Toutefois, lorsque ceux qui l’achètent atteignent un niveau de richesse qui leur permet de s’auto-assurer, ils cessent de l’acheter. Autrement dit, les plus riches capable d’assurer eux-mêmes les risques que l’assurance leur propose de couvrir préfèrent s’auto-assurer plutôt que souscrire à une assurance. Ce constat, implique que les producteurs les plus riches (avec une taille de troupeau très élevée par exemple) et les producteurs les plus pauvres (avec une taille de troupeau moins élevée) sont ceux qui s’assurent le moins, comparés aux producteurs au niveau de revenu intermédiaire.</w:t>
      </w:r>
    </w:p>
    <w:p w14:paraId="38DC3D27" w14:textId="77777777" w:rsidR="00E4348F" w:rsidRPr="00E4348F" w:rsidRDefault="00E4348F" w:rsidP="00E4348F">
      <w:pPr>
        <w:spacing w:line="276" w:lineRule="auto"/>
        <w:jc w:val="both"/>
      </w:pPr>
      <w:r w:rsidRPr="00E4348F">
        <w:t xml:space="preserve">En utilisant le stock de bétail comme mesure de la richesse des producteurs, Clarke &amp; </w:t>
      </w:r>
      <w:proofErr w:type="spellStart"/>
      <w:r w:rsidRPr="00E4348F">
        <w:t>Kalani</w:t>
      </w:r>
      <w:proofErr w:type="spellEnd"/>
      <w:r w:rsidRPr="00E4348F">
        <w:t xml:space="preserve"> (2011) ont montré que les producteurs qui avaient un stock de bétail élevé et ceux qui avaient un stock de bétail faible ne s’assuraient pas. Ce sont les producteurs pour lesquels le stock de bétail était à un niveau intermédiaire qui étaient les plus intéressés par l’assurance. Toutefois d’autres constats suggèrent une relation linéaire selon lequel l’achat de l’assurance diminue avec la richesse. C’est le cas des résultats de </w:t>
      </w:r>
      <w:proofErr w:type="spellStart"/>
      <w:r w:rsidRPr="00E4348F">
        <w:t>Chantarat</w:t>
      </w:r>
      <w:proofErr w:type="spellEnd"/>
      <w:r w:rsidRPr="00E4348F">
        <w:t xml:space="preserve">, </w:t>
      </w:r>
      <w:proofErr w:type="spellStart"/>
      <w:r w:rsidRPr="00E4348F">
        <w:t>Mude</w:t>
      </w:r>
      <w:proofErr w:type="spellEnd"/>
      <w:r w:rsidRPr="00E4348F">
        <w:t xml:space="preserve"> &amp; </w:t>
      </w:r>
      <w:proofErr w:type="spellStart"/>
      <w:r w:rsidRPr="00E4348F">
        <w:t>Barret</w:t>
      </w:r>
      <w:proofErr w:type="spellEnd"/>
      <w:r w:rsidRPr="00E4348F">
        <w:t xml:space="preserve"> (2009) sur des éleveurs à qui l’assurance indicielle bétail fut proposée au Kenya, et qui montre que les éleveurs les plus riches ne souscrivaient pas à l’assurance. De ce point de vue, la richesse est considérée comme un moyen de se sentir moins vulnérable et donc plus résilient aux chocs. </w:t>
      </w:r>
    </w:p>
    <w:p w14:paraId="31E14498" w14:textId="029089AB" w:rsidR="009A4E0C" w:rsidRDefault="00E4348F" w:rsidP="0056146E">
      <w:pPr>
        <w:pStyle w:val="Titre3"/>
        <w:numPr>
          <w:ilvl w:val="0"/>
          <w:numId w:val="12"/>
        </w:numPr>
        <w:spacing w:line="276" w:lineRule="auto"/>
        <w:jc w:val="both"/>
      </w:pPr>
      <w:bookmarkStart w:id="21" w:name="_Toc418687169"/>
      <w:bookmarkStart w:id="22" w:name="_Toc9279197"/>
      <w:bookmarkStart w:id="23" w:name="_Toc17840317"/>
      <w:r w:rsidRPr="00E4348F">
        <w:t>L’investissement, l’épargne et le niveau de reven</w:t>
      </w:r>
      <w:bookmarkEnd w:id="21"/>
      <w:bookmarkEnd w:id="22"/>
      <w:r w:rsidR="009A4E0C">
        <w:t>u</w:t>
      </w:r>
      <w:bookmarkEnd w:id="23"/>
    </w:p>
    <w:p w14:paraId="16632B4F" w14:textId="09C0509D" w:rsidR="00E4348F" w:rsidRPr="00E4348F" w:rsidRDefault="00E4348F" w:rsidP="00E4348F">
      <w:pPr>
        <w:spacing w:line="276" w:lineRule="auto"/>
        <w:jc w:val="both"/>
      </w:pPr>
      <w:r w:rsidRPr="00E4348F">
        <w:t xml:space="preserve">De manière générale, la littérature sur l’impact de l’assurance, que ce soit pour l’agriculture ou pour l’élevage, est peu développée. Ce constat est encore plus valable quand il s’agit de la littérature empirique. Néanmoins des auteurs comme Jensen, </w:t>
      </w:r>
      <w:proofErr w:type="spellStart"/>
      <w:r w:rsidRPr="00E4348F">
        <w:t>Barret</w:t>
      </w:r>
      <w:proofErr w:type="spellEnd"/>
      <w:r w:rsidRPr="00E4348F">
        <w:t xml:space="preserve"> &amp; </w:t>
      </w:r>
      <w:proofErr w:type="spellStart"/>
      <w:r w:rsidRPr="00E4348F">
        <w:t>Mude</w:t>
      </w:r>
      <w:proofErr w:type="spellEnd"/>
      <w:r w:rsidRPr="00E4348F">
        <w:t xml:space="preserve"> (2014) ont constaté une corrélation positive entre la souscription de l’assurance bétail, le niveau des investissements ainsi que le niveau de revenu. Concernant le niveau des investissements, leurs résultats montrent que les producteurs assurés investissaient davantage dans les services de santé animale. Le résultat logique qui en découle concernant l’épargne et qui est toujours prouvé dans les travaux de Jensen, </w:t>
      </w:r>
      <w:proofErr w:type="spellStart"/>
      <w:r w:rsidRPr="00E4348F">
        <w:t>Barret</w:t>
      </w:r>
      <w:proofErr w:type="spellEnd"/>
      <w:r w:rsidRPr="00E4348F">
        <w:t xml:space="preserve"> &amp; </w:t>
      </w:r>
      <w:proofErr w:type="spellStart"/>
      <w:r w:rsidRPr="00E4348F">
        <w:t>Mude</w:t>
      </w:r>
      <w:proofErr w:type="spellEnd"/>
      <w:r w:rsidRPr="00E4348F">
        <w:t xml:space="preserve"> (2014) est que les producteurs assurés ont tendance à réduire leur épargne de précaution. Pour ce qui est du revenu également, le constat est que la production laitière ainsi que le revenu tiré des différentes activités est plus élevé pour les éleveurs qui s’assurent. </w:t>
      </w:r>
    </w:p>
    <w:p w14:paraId="758123ED" w14:textId="753EF207" w:rsidR="00E4348F" w:rsidRPr="00E4348F" w:rsidRDefault="00E4348F" w:rsidP="0056146E">
      <w:pPr>
        <w:pStyle w:val="Titre3"/>
        <w:numPr>
          <w:ilvl w:val="0"/>
          <w:numId w:val="12"/>
        </w:numPr>
      </w:pPr>
      <w:bookmarkStart w:id="24" w:name="_Toc418687170"/>
      <w:bookmarkStart w:id="25" w:name="_Toc9279198"/>
      <w:bookmarkStart w:id="26" w:name="_Toc17840318"/>
      <w:r w:rsidRPr="00E4348F">
        <w:t>Risque de base et prix du produit</w:t>
      </w:r>
      <w:bookmarkEnd w:id="24"/>
      <w:bookmarkEnd w:id="25"/>
      <w:bookmarkEnd w:id="26"/>
    </w:p>
    <w:p w14:paraId="764C3E12" w14:textId="77777777" w:rsidR="00E4348F" w:rsidRPr="00E4348F" w:rsidRDefault="00E4348F" w:rsidP="00E4348F">
      <w:pPr>
        <w:spacing w:line="276" w:lineRule="auto"/>
        <w:jc w:val="both"/>
      </w:pPr>
      <w:r w:rsidRPr="00E4348F">
        <w:t xml:space="preserve">Le risque de base constitue le talon d’Achille de tous les produits d’assurance indicielle. Presque la totalité des travaux qui ont abordé le sujet ont montré que la demande d’assurance diminuait avec celui-ci. Il en va de même pour la prime ou le prix de l’assurance. C’est dans les travaux de Jensen, </w:t>
      </w:r>
      <w:proofErr w:type="spellStart"/>
      <w:r w:rsidRPr="00E4348F">
        <w:t>Barret</w:t>
      </w:r>
      <w:proofErr w:type="spellEnd"/>
      <w:r w:rsidRPr="00E4348F">
        <w:t xml:space="preserve"> &amp; </w:t>
      </w:r>
      <w:proofErr w:type="spellStart"/>
      <w:r w:rsidRPr="00E4348F">
        <w:t>Mude</w:t>
      </w:r>
      <w:proofErr w:type="spellEnd"/>
      <w:r w:rsidRPr="00E4348F">
        <w:t xml:space="preserve"> (2014) que nous trouvons encore une fois des preuves de ces résultats pour l’assurance indicielle bétail. Leurs résultats suggèrent par exemple que lorsque la prime d’assurance est défavorable (augmentée des coûts de gestion, ce qui la rendait plus onéreuse pour les éleveurs), les souscriptions devenaient faibles même si cela exposait le bétail à des niveaux de risques covariants plus élevés.</w:t>
      </w:r>
    </w:p>
    <w:p w14:paraId="65F625DC" w14:textId="18D73DEF" w:rsidR="00E4348F" w:rsidRPr="00E4348F" w:rsidRDefault="00E4348F" w:rsidP="0056146E">
      <w:pPr>
        <w:pStyle w:val="Titre3"/>
        <w:numPr>
          <w:ilvl w:val="0"/>
          <w:numId w:val="12"/>
        </w:numPr>
      </w:pPr>
      <w:bookmarkStart w:id="27" w:name="_Toc418687171"/>
      <w:bookmarkStart w:id="28" w:name="_Toc9279199"/>
      <w:bookmarkStart w:id="29" w:name="_Toc17840319"/>
      <w:r w:rsidRPr="00E4348F">
        <w:t>Accès au crédit</w:t>
      </w:r>
      <w:bookmarkEnd w:id="27"/>
      <w:bookmarkEnd w:id="28"/>
      <w:bookmarkEnd w:id="29"/>
    </w:p>
    <w:p w14:paraId="2F17435D" w14:textId="5ADA69B9" w:rsidR="00E4348F" w:rsidRPr="00E4348F" w:rsidRDefault="00E4348F" w:rsidP="00E4348F">
      <w:pPr>
        <w:spacing w:line="276" w:lineRule="auto"/>
        <w:jc w:val="both"/>
      </w:pPr>
      <w:proofErr w:type="spellStart"/>
      <w:r w:rsidRPr="00E4348F">
        <w:t>Chantarat</w:t>
      </w:r>
      <w:proofErr w:type="spellEnd"/>
      <w:r w:rsidRPr="00E4348F">
        <w:t xml:space="preserve">, </w:t>
      </w:r>
      <w:proofErr w:type="spellStart"/>
      <w:r w:rsidRPr="00E4348F">
        <w:t>Mude</w:t>
      </w:r>
      <w:proofErr w:type="spellEnd"/>
      <w:r w:rsidRPr="00E4348F">
        <w:t xml:space="preserve"> &amp; </w:t>
      </w:r>
      <w:proofErr w:type="spellStart"/>
      <w:r w:rsidRPr="00E4348F">
        <w:t>Barret</w:t>
      </w:r>
      <w:proofErr w:type="spellEnd"/>
      <w:r w:rsidRPr="00E4348F">
        <w:t xml:space="preserve"> (2009) ont étudié la disposition à payer pour l’assurance sur la base d’une étude menée auprès de ménages d’éleveurs situés dans le Nord du Kenya. L’analyse de la relation avec </w:t>
      </w:r>
      <w:r w:rsidRPr="00E4348F">
        <w:lastRenderedPageBreak/>
        <w:t xml:space="preserve">l’accès au crédit a montré que les ménages qui n’avaient pas accès au crédit étaient disposés à payer pour des taux de couverture plus élevés que les taux de couverture des ménages qui avaient accès au crédit. En effet, le crédit peut être analysé comme étant en lui-même une forme d’assurance et donc un outil de gestion de risque. Dans ce cas, il est logique que l’accès au crédit limite la demande d’assurance car combiner les deux constituerait un double emploi. Toutefois, cette interprétation du rôle du crédit en tant que forme d’assurance ou moyen d’atténuation ne fait pas l’unanimité dans la littérature, concernant le lien entre l’assurance et le crédit en général. Plusieurs résultats montrent que l’accès au crédit peut avoir un effet positif sur la demande d’assurance. C’est le cas de l’étude de Clarke &amp; </w:t>
      </w:r>
      <w:proofErr w:type="spellStart"/>
      <w:r w:rsidRPr="00E4348F">
        <w:t>Kalani</w:t>
      </w:r>
      <w:proofErr w:type="spellEnd"/>
      <w:r w:rsidRPr="00E4348F">
        <w:t xml:space="preserve"> (2011) sur l’assurance bétail ou encore de l’étude sur l’assurance indicielle en Inde de </w:t>
      </w:r>
      <w:proofErr w:type="spellStart"/>
      <w:r w:rsidRPr="00E4348F">
        <w:t>Giné</w:t>
      </w:r>
      <w:proofErr w:type="spellEnd"/>
      <w:r w:rsidRPr="00E4348F">
        <w:t xml:space="preserve">, Townsend &amp; </w:t>
      </w:r>
      <w:proofErr w:type="spellStart"/>
      <w:r w:rsidRPr="00E4348F">
        <w:t>Vickery</w:t>
      </w:r>
      <w:proofErr w:type="spellEnd"/>
      <w:r w:rsidRPr="00E4348F">
        <w:t xml:space="preserve"> (2008). Par exemple, </w:t>
      </w:r>
      <w:sdt>
        <w:sdtPr>
          <w:id w:val="476805819"/>
          <w:citation/>
        </w:sdtPr>
        <w:sdtEndPr/>
        <w:sdtContent>
          <w:r w:rsidRPr="00E4348F">
            <w:fldChar w:fldCharType="begin"/>
          </w:r>
          <w:r w:rsidRPr="00E4348F">
            <w:instrText xml:space="preserve"> CITATION Syl17 \l 1036 </w:instrText>
          </w:r>
          <w:r w:rsidRPr="00E4348F">
            <w:fldChar w:fldCharType="separate"/>
          </w:r>
          <w:r w:rsidR="004131F6">
            <w:rPr>
              <w:noProof/>
            </w:rPr>
            <w:t>(Syll &amp; Weingärtner, 2017)</w:t>
          </w:r>
          <w:r w:rsidRPr="00E4348F">
            <w:fldChar w:fldCharType="end"/>
          </w:r>
        </w:sdtContent>
      </w:sdt>
      <w:r w:rsidRPr="00E4348F">
        <w:t xml:space="preserve"> ont montré sur la base d’une étude menée au Sénégal que les producteurs qui ont eu accès dans le passé à un crédit formel étaient les plus disposés à achete</w:t>
      </w:r>
      <w:r w:rsidR="000A2F61">
        <w:t>r l’assurance indicielle bétail</w:t>
      </w:r>
      <w:r w:rsidRPr="00E4348F">
        <w:t xml:space="preserve">. </w:t>
      </w:r>
      <w:bookmarkStart w:id="30" w:name="_Toc418687172"/>
    </w:p>
    <w:p w14:paraId="2A80037B" w14:textId="6B09B862" w:rsidR="00E4348F" w:rsidRPr="00E4348F" w:rsidRDefault="000A2F61" w:rsidP="0056146E">
      <w:pPr>
        <w:pStyle w:val="Titre3"/>
        <w:numPr>
          <w:ilvl w:val="0"/>
          <w:numId w:val="12"/>
        </w:numPr>
      </w:pPr>
      <w:bookmarkStart w:id="31" w:name="_Toc8145581"/>
      <w:bookmarkStart w:id="32" w:name="_Toc9279200"/>
      <w:bookmarkStart w:id="33" w:name="_Toc17840320"/>
      <w:r>
        <w:t>T</w:t>
      </w:r>
      <w:r w:rsidR="00E4348F" w:rsidRPr="00E4348F">
        <w:t>aux d’intérêt et financement par les banques</w:t>
      </w:r>
      <w:bookmarkEnd w:id="30"/>
      <w:bookmarkEnd w:id="31"/>
      <w:bookmarkEnd w:id="32"/>
      <w:bookmarkEnd w:id="33"/>
    </w:p>
    <w:p w14:paraId="0C123E1C" w14:textId="77777777" w:rsidR="00E4348F" w:rsidRPr="00E4348F" w:rsidRDefault="00E4348F" w:rsidP="00E4348F">
      <w:pPr>
        <w:spacing w:line="276" w:lineRule="auto"/>
        <w:jc w:val="both"/>
      </w:pPr>
      <w:r w:rsidRPr="00E4348F">
        <w:t xml:space="preserve">Une idée qui est généralement répandue dans le milieu de la micro-assurance est que lorsque les producteurs qui demandent un micro-crédit s’assurent, les institutions de microfinance sont plus susceptibles de répondre favorablement à leur demande car l’assurance constitue une garantie supplémentaire. Les travaux de </w:t>
      </w:r>
      <w:proofErr w:type="spellStart"/>
      <w:r w:rsidRPr="00E4348F">
        <w:t>Mahul</w:t>
      </w:r>
      <w:proofErr w:type="spellEnd"/>
      <w:r w:rsidRPr="00E4348F">
        <w:t xml:space="preserve"> &amp; </w:t>
      </w:r>
      <w:proofErr w:type="spellStart"/>
      <w:r w:rsidRPr="00E4348F">
        <w:t>Skees</w:t>
      </w:r>
      <w:proofErr w:type="spellEnd"/>
      <w:r w:rsidRPr="00E4348F">
        <w:t xml:space="preserve"> (2007) menés sur la base d’un produit d’assurance bétail donnent des preuves empiriques de ce résultat et montrent qu’en Mongolie par exemple, cela a permis d’accroître le montant des crédits et en même temps permis de réviser à la baisse les taux d’intérêt, rendant ainsi le crédit moins cher. </w:t>
      </w:r>
    </w:p>
    <w:p w14:paraId="32E56308" w14:textId="47017A83" w:rsidR="00E4348F" w:rsidRPr="00E4348F" w:rsidRDefault="00E4348F" w:rsidP="0056146E">
      <w:pPr>
        <w:pStyle w:val="Titre3"/>
        <w:numPr>
          <w:ilvl w:val="0"/>
          <w:numId w:val="12"/>
        </w:numPr>
      </w:pPr>
      <w:bookmarkStart w:id="34" w:name="_Toc418687173"/>
      <w:bookmarkStart w:id="35" w:name="_Toc8145582"/>
      <w:bookmarkStart w:id="36" w:name="_Toc9279201"/>
      <w:bookmarkStart w:id="37" w:name="_Toc17840321"/>
      <w:r w:rsidRPr="00E4348F">
        <w:t>Aspects liés au genre</w:t>
      </w:r>
      <w:bookmarkEnd w:id="34"/>
      <w:bookmarkEnd w:id="35"/>
      <w:bookmarkEnd w:id="36"/>
      <w:bookmarkEnd w:id="37"/>
    </w:p>
    <w:p w14:paraId="2514FFDA" w14:textId="77A2B3BA" w:rsidR="00E4348F" w:rsidRPr="00E4348F" w:rsidRDefault="00E4348F" w:rsidP="00E4348F">
      <w:pPr>
        <w:spacing w:line="276" w:lineRule="auto"/>
        <w:jc w:val="both"/>
      </w:pPr>
      <w:r w:rsidRPr="00E4348F">
        <w:t xml:space="preserve">Nous devons l’analyse de la relation entre le genre et la demande d’assurance bétail à des auteurs comme </w:t>
      </w:r>
      <w:proofErr w:type="spellStart"/>
      <w:r w:rsidRPr="00E4348F">
        <w:t>Bageant</w:t>
      </w:r>
      <w:proofErr w:type="spellEnd"/>
      <w:r w:rsidRPr="00E4348F">
        <w:t xml:space="preserve"> &amp; </w:t>
      </w:r>
      <w:proofErr w:type="spellStart"/>
      <w:r w:rsidRPr="00E4348F">
        <w:t>Barret</w:t>
      </w:r>
      <w:proofErr w:type="spellEnd"/>
      <w:r w:rsidRPr="00E4348F">
        <w:t xml:space="preserve"> (2017). Leurs résultats montrent que les taux de souscription de l’assurance indicielle bétail entre les ménages dirigés par les femmes et les ménages dirigés par les hommes ne présentaient pas de différences mais les facteurs qui expliquent la demande des femmes semblent légèrement différents de ceux qui expliquent la demande des hommes. Chez les femmes, l’aversion au risque a un effet positif sur la demande alors que l’accès à des formes d’assurance informelle (capital social ou prêteurs informels) a un effet négatif sur la demande d’assurance. L’éducation financière à propos de l’assurance indicielle bétail donne de meilleurs résultats chez les femmes que chez les hommes – si elle est effectuée directement à la maison – car les femmes connaissent des contraintes qui peuvent les empêcher de participer à des rencontres de formation ou d’accéder à d’autres sources d’informations comparés aux hommes. La principale source de différences entre les effets sur la demande des hommes et celles des femmes est expliquée dans leur étude par la faiblesse du statut social des femmes, qui les expose à plus de pressions de la part des agents envoyé par les compagnies d’assurance pour les démarcher. Takahashi, </w:t>
      </w:r>
      <w:proofErr w:type="spellStart"/>
      <w:r w:rsidRPr="00E4348F">
        <w:t>Ikegami</w:t>
      </w:r>
      <w:proofErr w:type="spellEnd"/>
      <w:r w:rsidRPr="00E4348F">
        <w:t xml:space="preserve">, </w:t>
      </w:r>
      <w:proofErr w:type="spellStart"/>
      <w:r w:rsidRPr="00E4348F">
        <w:t>Sheahan</w:t>
      </w:r>
      <w:proofErr w:type="spellEnd"/>
      <w:r w:rsidRPr="00E4348F">
        <w:t xml:space="preserve"> &amp; </w:t>
      </w:r>
      <w:proofErr w:type="spellStart"/>
      <w:r w:rsidRPr="00E4348F">
        <w:t>Barrett</w:t>
      </w:r>
      <w:proofErr w:type="spellEnd"/>
      <w:r w:rsidRPr="00E4348F">
        <w:t xml:space="preserve"> (2016) ont aussi montré que les femmes sont plus susceptibles d’acheter l’assurance indicielle bétail mais avec une valeur total</w:t>
      </w:r>
      <w:r w:rsidR="00FE1695">
        <w:t>e</w:t>
      </w:r>
      <w:r w:rsidRPr="00E4348F">
        <w:t xml:space="preserve"> du bétail assuré plus faible. </w:t>
      </w:r>
      <w:proofErr w:type="spellStart"/>
      <w:r w:rsidRPr="00E4348F">
        <w:t>Bageant</w:t>
      </w:r>
      <w:proofErr w:type="spellEnd"/>
      <w:r w:rsidRPr="00E4348F">
        <w:t xml:space="preserve"> &amp; </w:t>
      </w:r>
      <w:proofErr w:type="spellStart"/>
      <w:r w:rsidRPr="00E4348F">
        <w:t>Barret</w:t>
      </w:r>
      <w:proofErr w:type="spellEnd"/>
      <w:r w:rsidRPr="00E4348F">
        <w:t xml:space="preserve"> (2017) plaident ainsi en faveur d’une approche différenciée pour proposer l’assurance indicielle bétail aux hommes et aux femmes, dans un contexte où les hommes ont des actifs plus importants (taille de troupeau plus élevés), une meilleure éducation financière et un accès plus facile à l’information.</w:t>
      </w:r>
    </w:p>
    <w:p w14:paraId="31A80EC9" w14:textId="317C5A83" w:rsidR="00E4348F" w:rsidRPr="00E4348F" w:rsidRDefault="00E4348F" w:rsidP="0056146E">
      <w:pPr>
        <w:pStyle w:val="Titre3"/>
        <w:numPr>
          <w:ilvl w:val="0"/>
          <w:numId w:val="12"/>
        </w:numPr>
      </w:pPr>
      <w:bookmarkStart w:id="38" w:name="_Toc418687174"/>
      <w:bookmarkStart w:id="39" w:name="_Toc8145583"/>
      <w:bookmarkStart w:id="40" w:name="_Toc9279202"/>
      <w:bookmarkStart w:id="41" w:name="_Toc17840322"/>
      <w:r w:rsidRPr="00E4348F">
        <w:t>Niveau d’éducation</w:t>
      </w:r>
      <w:bookmarkEnd w:id="38"/>
      <w:bookmarkEnd w:id="39"/>
      <w:bookmarkEnd w:id="40"/>
      <w:bookmarkEnd w:id="41"/>
    </w:p>
    <w:p w14:paraId="055736D1" w14:textId="79C4FE10" w:rsidR="00E4348F" w:rsidRDefault="00E4348F" w:rsidP="00C9063E">
      <w:pPr>
        <w:spacing w:line="276" w:lineRule="auto"/>
        <w:jc w:val="both"/>
      </w:pPr>
      <w:r w:rsidRPr="00E4348F">
        <w:t xml:space="preserve">Clarke &amp; </w:t>
      </w:r>
      <w:proofErr w:type="spellStart"/>
      <w:r w:rsidRPr="00E4348F">
        <w:t>Kalani</w:t>
      </w:r>
      <w:proofErr w:type="spellEnd"/>
      <w:r w:rsidRPr="00E4348F">
        <w:t xml:space="preserve"> (2011) se sont également intéressés dans leur étude auprès des producteurs Éthiopiens au niveau d’éducation mais également au niveau d’alphabétisation. Pour ces auteurs, ce n’est pas </w:t>
      </w:r>
      <w:r w:rsidRPr="00E4348F">
        <w:lastRenderedPageBreak/>
        <w:t>vraiment le niveau d’éducation qui compte pour comprendre l’effet de la capacité cognitive des producteurs à comprendre le produit d’assurance, mais plutôt leur niveau d’alphabétisation. Ils expliquent cela par le fait que les éleveurs analphabètes n’avaient pas souvent plus de quatre années d’étude, ce qui ne fait pas une grande différence avec les producteurs alphabétisés en termes de capacité cognitive. Sur cette base ils ont constaté que l’alphabétisation par contre constituait un moyen plus efficace pour développer la capacité cognitive des éleveurs avec une conséquence positive sur la décision de s’assurer.</w:t>
      </w:r>
      <w:r w:rsidRPr="00E4348F" w:rsidDel="00FD6F02">
        <w:t xml:space="preserve"> </w:t>
      </w:r>
    </w:p>
    <w:p w14:paraId="2E913DF4" w14:textId="77777777" w:rsidR="004B4F93" w:rsidRDefault="004B4F93" w:rsidP="0056146E">
      <w:pPr>
        <w:pStyle w:val="Titre1"/>
        <w:numPr>
          <w:ilvl w:val="0"/>
          <w:numId w:val="1"/>
        </w:numPr>
      </w:pPr>
      <w:bookmarkStart w:id="42" w:name="_Toc17840323"/>
      <w:r w:rsidRPr="00BC0497">
        <w:t>Méthodologie</w:t>
      </w:r>
      <w:bookmarkEnd w:id="42"/>
    </w:p>
    <w:p w14:paraId="150288FE" w14:textId="77777777" w:rsidR="00207C66" w:rsidRDefault="00207C66" w:rsidP="00067A10">
      <w:pPr>
        <w:jc w:val="both"/>
      </w:pPr>
      <w:r>
        <w:t>A cause des raisons pratiques (trop grand, trop cher, prenant trop de temps, …), il est souvent difficile d’interroger toute la population. Dans ce cas, on fait des enquêtes par sondage à l’aide d’un échantillon constituant une partie de la population, choisie pour refléter la population le mieux possible. Pour ce faire, la base de sondage doit être assez homogène compte tenu des objectifs de l’étude de sorte que tout échantillon tiré de façon aléatoire soit représentatif de la population de la base de sondage. Cela nous conduit à nous interroger sur le niveau d’homogénéité de la zone d’étude.</w:t>
      </w:r>
    </w:p>
    <w:p w14:paraId="1D4E3977" w14:textId="77777777" w:rsidR="00207C66" w:rsidRDefault="009C775C" w:rsidP="00067A10">
      <w:pPr>
        <w:jc w:val="both"/>
      </w:pPr>
      <w:r>
        <w:t>La z</w:t>
      </w:r>
      <w:r w:rsidR="00207C66">
        <w:t>one d’étude du projet porte sur les zones agro-</w:t>
      </w:r>
      <w:proofErr w:type="spellStart"/>
      <w:r w:rsidR="00207C66">
        <w:t>sylvo</w:t>
      </w:r>
      <w:proofErr w:type="spellEnd"/>
      <w:r w:rsidR="00207C66">
        <w:t>-pastorales regroupant plusieurs régions et départements caractérisés par des systèmes d’élevage pastoral différents (zone à dominance pastoral, zone à dominance agricole, zone d’embuche et de commerce de bétail, etc.). De même les aspects géographiques sont également différents dans ces zones (type de sols, climat, végétation et pluviométrie).</w:t>
      </w:r>
    </w:p>
    <w:p w14:paraId="5CFF3EC1" w14:textId="47A3624C" w:rsidR="00207C66" w:rsidRDefault="00207C66" w:rsidP="00067A10">
      <w:pPr>
        <w:jc w:val="both"/>
      </w:pPr>
      <w:r>
        <w:t xml:space="preserve">Sachant que les départements et communes sont différents selon les types d’élevage pastoral pratiqué, le choix des départements qui </w:t>
      </w:r>
      <w:r w:rsidR="00070025">
        <w:t>sont</w:t>
      </w:r>
      <w:r>
        <w:t xml:space="preserve"> considérés pour l’étude a été effectué sur la base d’expérience pratique des é</w:t>
      </w:r>
      <w:r w:rsidR="009C775C">
        <w:t>leveurs eux-mêmes. En effet, ce</w:t>
      </w:r>
      <w:r>
        <w:t>s</w:t>
      </w:r>
      <w:r w:rsidR="009C775C">
        <w:t xml:space="preserve"> </w:t>
      </w:r>
      <w:r>
        <w:t xml:space="preserve">derniers ont été invité à prendre part à la réunion de partage des outils et de la méthodologie de l’étude pour recueillir leurs avis sur le plan de sondage.  Les résultats de cette rencontre ont permis d’identifier des communes qui couvrent tous les types d’élevage pastoral pertinents pour lesquels les éleveurs font face à des difficultés liées aux phénomènes climatiques, notamment la variabilité pluviométrique. </w:t>
      </w:r>
    </w:p>
    <w:p w14:paraId="65AF6B74" w14:textId="680202A5" w:rsidR="00207C66" w:rsidRPr="009C775C" w:rsidRDefault="00207C66" w:rsidP="00EC4E6D">
      <w:pPr>
        <w:jc w:val="both"/>
      </w:pPr>
      <w:r>
        <w:t xml:space="preserve">Les représentants des éleveurs ont aidé l’équipe d’IPAR à classer d’abord les départements pour choisir ceux dans lesquels l’élevage pastoral </w:t>
      </w:r>
      <w:r w:rsidR="00070025">
        <w:t>et l’élevage agro-pastoral sont</w:t>
      </w:r>
      <w:r>
        <w:t xml:space="preserve"> le plus </w:t>
      </w:r>
      <w:r w:rsidR="00070025">
        <w:t>pratiqués</w:t>
      </w:r>
      <w:r>
        <w:t>. Ensuite les communes de ces départements ont été également passées en revue pour ne retenir que celles qui sont pertinentes. Les départements qui ont été retenus compte tenu des contraintes de temps et de budget de l’étude sont Dagana et Podor dans la région de Saint-Louis, Ranérou dans la région de Matam, Linguère dans la région de Louga et Koumpentoum dans la région de Tambacounda.</w:t>
      </w:r>
    </w:p>
    <w:p w14:paraId="15BA3AFA" w14:textId="6A03F5B5" w:rsidR="005F1702" w:rsidRPr="00532708" w:rsidRDefault="005F1702" w:rsidP="0056146E">
      <w:pPr>
        <w:pStyle w:val="Titre2"/>
        <w:numPr>
          <w:ilvl w:val="0"/>
          <w:numId w:val="27"/>
        </w:numPr>
      </w:pPr>
      <w:bookmarkStart w:id="43" w:name="_Toc17840324"/>
      <w:r w:rsidRPr="00532708">
        <w:rPr>
          <w:lang w:eastAsia="fr-FR"/>
        </w:rPr>
        <w:t>Plan de sondage</w:t>
      </w:r>
      <w:bookmarkEnd w:id="43"/>
    </w:p>
    <w:p w14:paraId="247549A3" w14:textId="77777777" w:rsidR="005F1702" w:rsidRDefault="005F1702" w:rsidP="005F1702">
      <w:pPr>
        <w:jc w:val="both"/>
      </w:pPr>
      <w:r>
        <w:t>L’ensemble des commun</w:t>
      </w:r>
      <w:r w:rsidR="00207C66">
        <w:t>es pastorales identifiées dans l</w:t>
      </w:r>
      <w:r>
        <w:t xml:space="preserve">es </w:t>
      </w:r>
      <w:r w:rsidR="00207C66">
        <w:t xml:space="preserve">5 </w:t>
      </w:r>
      <w:r>
        <w:t xml:space="preserve">départements </w:t>
      </w:r>
      <w:r w:rsidR="00207C66">
        <w:t xml:space="preserve">retenus </w:t>
      </w:r>
      <w:r>
        <w:t>est réparti en 6 strates. Chaque strate comprend un groupe de communes. Les strates sont définies suivant le type d’élevage (z</w:t>
      </w:r>
      <w:r w:rsidRPr="00414E75">
        <w:t>one pastorale</w:t>
      </w:r>
      <w:r>
        <w:t xml:space="preserve">, </w:t>
      </w:r>
      <w:r w:rsidRPr="00414E75">
        <w:t xml:space="preserve">zone agro-pastorale à </w:t>
      </w:r>
      <w:r>
        <w:t>pré</w:t>
      </w:r>
      <w:r w:rsidRPr="00414E75">
        <w:t>dominance pastorale</w:t>
      </w:r>
      <w:r>
        <w:t xml:space="preserve">, </w:t>
      </w:r>
      <w:r w:rsidRPr="00414E75">
        <w:t xml:space="preserve">zone agro-pastorale à </w:t>
      </w:r>
      <w:r>
        <w:t>pré</w:t>
      </w:r>
      <w:r w:rsidRPr="00414E75">
        <w:t>dominance agricole</w:t>
      </w:r>
      <w:r>
        <w:t xml:space="preserve">, </w:t>
      </w:r>
      <w:r w:rsidRPr="00414E75">
        <w:t>zone</w:t>
      </w:r>
      <w:r>
        <w:t xml:space="preserve"> </w:t>
      </w:r>
      <w:r w:rsidRPr="00414E75">
        <w:t>agro-pastorale par excel</w:t>
      </w:r>
      <w:r>
        <w:t>l</w:t>
      </w:r>
      <w:r w:rsidRPr="00414E75">
        <w:t>ence</w:t>
      </w:r>
      <w:r>
        <w:t>, z</w:t>
      </w:r>
      <w:r w:rsidRPr="00414E75">
        <w:t>one</w:t>
      </w:r>
      <w:r>
        <w:t xml:space="preserve"> </w:t>
      </w:r>
      <w:r w:rsidRPr="00414E75">
        <w:t>d'embouche et</w:t>
      </w:r>
      <w:r>
        <w:t xml:space="preserve"> de</w:t>
      </w:r>
      <w:r w:rsidRPr="00414E75">
        <w:t xml:space="preserve"> commerce d</w:t>
      </w:r>
      <w:r>
        <w:t>e</w:t>
      </w:r>
      <w:r w:rsidRPr="00414E75">
        <w:t xml:space="preserve"> bétail</w:t>
      </w:r>
      <w:r>
        <w:t xml:space="preserve">, </w:t>
      </w:r>
      <w:r w:rsidRPr="00414E75">
        <w:t>zone de transit</w:t>
      </w:r>
      <w:r>
        <w:t xml:space="preserve">). </w:t>
      </w:r>
      <w:r w:rsidRPr="007256F0">
        <w:t>A</w:t>
      </w:r>
      <w:r>
        <w:t>insi</w:t>
      </w:r>
      <w:r w:rsidRPr="007256F0">
        <w:t xml:space="preserve">, nous </w:t>
      </w:r>
      <w:r w:rsidR="00207C66">
        <w:t>avons fait le choix d’</w:t>
      </w:r>
      <w:r w:rsidRPr="007256F0">
        <w:t xml:space="preserve">un sondage aléatoire à </w:t>
      </w:r>
      <w:r>
        <w:t>trois</w:t>
      </w:r>
      <w:r w:rsidRPr="007256F0">
        <w:t xml:space="preserve"> degrés dans chacune de ces six (6) </w:t>
      </w:r>
      <w:r>
        <w:t>strates</w:t>
      </w:r>
      <w:r w:rsidRPr="007256F0">
        <w:t xml:space="preserve"> définies ci-dessus</w:t>
      </w:r>
      <w:r>
        <w:t>.</w:t>
      </w:r>
    </w:p>
    <w:p w14:paraId="718F939B" w14:textId="23679B8E" w:rsidR="00326FC9" w:rsidRPr="00B667A2" w:rsidRDefault="00326FC9" w:rsidP="0056146E">
      <w:pPr>
        <w:pStyle w:val="Paragraphedeliste"/>
        <w:numPr>
          <w:ilvl w:val="0"/>
          <w:numId w:val="5"/>
        </w:numPr>
        <w:jc w:val="both"/>
        <w:rPr>
          <w:b/>
          <w:i/>
        </w:rPr>
      </w:pPr>
      <w:r w:rsidRPr="00B667A2">
        <w:rPr>
          <w:b/>
          <w:i/>
        </w:rPr>
        <w:t>Premier degré du tirage :</w:t>
      </w:r>
    </w:p>
    <w:p w14:paraId="03D8394C" w14:textId="7238367F" w:rsidR="00326FC9" w:rsidRDefault="005F1702" w:rsidP="005F1702">
      <w:pPr>
        <w:jc w:val="both"/>
      </w:pPr>
      <w:r w:rsidRPr="007256F0">
        <w:t>Au premier degré on tire</w:t>
      </w:r>
      <w:r>
        <w:t xml:space="preserve"> de manière aléatoire </w:t>
      </w:r>
      <w:r w:rsidRPr="007256F0">
        <w:t xml:space="preserve">un échantillon de </w:t>
      </w:r>
      <w:r>
        <w:t>15 communes</w:t>
      </w:r>
      <w:r w:rsidRPr="007256F0">
        <w:t xml:space="preserve"> correspondant aux unités primaires</w:t>
      </w:r>
      <w:r>
        <w:t xml:space="preserve"> et réparti </w:t>
      </w:r>
      <w:r w:rsidRPr="001B024F">
        <w:t>proportionnell</w:t>
      </w:r>
      <w:r>
        <w:t>ement au nombr</w:t>
      </w:r>
      <w:r w:rsidR="00326FC9">
        <w:t>e de communes de chaque strate.</w:t>
      </w:r>
    </w:p>
    <w:p w14:paraId="2212CDEC" w14:textId="77777777" w:rsidR="00326FC9" w:rsidRPr="00775B68" w:rsidRDefault="00326FC9" w:rsidP="00326FC9">
      <w:pPr>
        <w:spacing w:after="0"/>
        <w:rPr>
          <w:rFonts w:cstheme="minorHAnsi"/>
          <w:bCs/>
          <w:iCs/>
          <w:color w:val="000000" w:themeColor="text1"/>
          <w:lang w:eastAsia="fr-FR"/>
        </w:rPr>
      </w:pPr>
      <w:r w:rsidRPr="00775B68">
        <w:rPr>
          <w:rFonts w:cstheme="minorHAnsi"/>
          <w:bCs/>
          <w:iCs/>
          <w:color w:val="000000" w:themeColor="text1"/>
          <w:lang w:eastAsia="fr-FR"/>
        </w:rPr>
        <w:lastRenderedPageBreak/>
        <w:t>Le résultat est fourni dans le tableau ci-joint :</w:t>
      </w:r>
    </w:p>
    <w:p w14:paraId="2111711C" w14:textId="795F81AA" w:rsidR="00870393" w:rsidRDefault="00870393" w:rsidP="00870393">
      <w:pPr>
        <w:pStyle w:val="Lgende"/>
        <w:keepNext/>
      </w:pPr>
      <w:bookmarkStart w:id="44" w:name="_Toc17840238"/>
      <w:r>
        <w:t xml:space="preserve">Tableau </w:t>
      </w:r>
      <w:r w:rsidR="008339A9">
        <w:rPr>
          <w:noProof/>
        </w:rPr>
        <w:fldChar w:fldCharType="begin"/>
      </w:r>
      <w:r w:rsidR="008339A9">
        <w:rPr>
          <w:noProof/>
        </w:rPr>
        <w:instrText xml:space="preserve"> SEQ Tableau \* ARABIC </w:instrText>
      </w:r>
      <w:r w:rsidR="008339A9">
        <w:rPr>
          <w:noProof/>
        </w:rPr>
        <w:fldChar w:fldCharType="separate"/>
      </w:r>
      <w:r>
        <w:rPr>
          <w:noProof/>
        </w:rPr>
        <w:t>1</w:t>
      </w:r>
      <w:r w:rsidR="008339A9">
        <w:rPr>
          <w:noProof/>
        </w:rPr>
        <w:fldChar w:fldCharType="end"/>
      </w:r>
      <w:r>
        <w:t> :</w:t>
      </w:r>
      <w:r w:rsidRPr="00870393">
        <w:t xml:space="preserve"> </w:t>
      </w:r>
      <w:r>
        <w:t>Les strates définies pour le tirage des communes</w:t>
      </w:r>
      <w:bookmarkEnd w:id="44"/>
    </w:p>
    <w:tbl>
      <w:tblPr>
        <w:tblW w:w="8930" w:type="dxa"/>
        <w:tblCellMar>
          <w:left w:w="70" w:type="dxa"/>
          <w:right w:w="70" w:type="dxa"/>
        </w:tblCellMar>
        <w:tblLook w:val="04A0" w:firstRow="1" w:lastRow="0" w:firstColumn="1" w:lastColumn="0" w:noHBand="0" w:noVBand="1"/>
      </w:tblPr>
      <w:tblGrid>
        <w:gridCol w:w="4195"/>
        <w:gridCol w:w="2325"/>
        <w:gridCol w:w="2410"/>
      </w:tblGrid>
      <w:tr w:rsidR="00326FC9" w:rsidRPr="00775B68" w14:paraId="492D90E3" w14:textId="77777777" w:rsidTr="004131F6">
        <w:trPr>
          <w:trHeight w:val="228"/>
        </w:trPr>
        <w:tc>
          <w:tcPr>
            <w:tcW w:w="41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28B09" w14:textId="77777777" w:rsidR="00326FC9" w:rsidRPr="00775B68" w:rsidRDefault="00326FC9" w:rsidP="00326FC9">
            <w:pPr>
              <w:spacing w:after="0" w:line="240" w:lineRule="auto"/>
              <w:jc w:val="center"/>
              <w:rPr>
                <w:rFonts w:eastAsia="Times New Roman" w:cstheme="minorHAnsi"/>
                <w:b/>
                <w:bCs/>
                <w:color w:val="000000"/>
                <w:lang w:eastAsia="fr-FR"/>
              </w:rPr>
            </w:pPr>
            <w:r w:rsidRPr="00775B68">
              <w:rPr>
                <w:rFonts w:eastAsia="Times New Roman" w:cstheme="minorHAnsi"/>
                <w:b/>
                <w:bCs/>
                <w:color w:val="000000"/>
                <w:lang w:eastAsia="fr-FR"/>
              </w:rPr>
              <w:t>Strate</w:t>
            </w:r>
          </w:p>
        </w:tc>
        <w:tc>
          <w:tcPr>
            <w:tcW w:w="2325" w:type="dxa"/>
            <w:tcBorders>
              <w:top w:val="single" w:sz="4" w:space="0" w:color="auto"/>
              <w:left w:val="nil"/>
              <w:bottom w:val="single" w:sz="4" w:space="0" w:color="auto"/>
              <w:right w:val="single" w:sz="4" w:space="0" w:color="auto"/>
            </w:tcBorders>
            <w:shd w:val="clear" w:color="auto" w:fill="auto"/>
            <w:noWrap/>
            <w:vAlign w:val="bottom"/>
            <w:hideMark/>
          </w:tcPr>
          <w:p w14:paraId="334CA9DE" w14:textId="77777777" w:rsidR="00326FC9" w:rsidRPr="00775B68" w:rsidRDefault="00326FC9" w:rsidP="00326FC9">
            <w:pPr>
              <w:spacing w:after="0" w:line="240" w:lineRule="auto"/>
              <w:jc w:val="center"/>
              <w:rPr>
                <w:rFonts w:eastAsia="Times New Roman" w:cstheme="minorHAnsi"/>
                <w:b/>
                <w:bCs/>
                <w:color w:val="000000"/>
                <w:lang w:eastAsia="fr-FR"/>
              </w:rPr>
            </w:pPr>
            <w:r w:rsidRPr="00775B68">
              <w:rPr>
                <w:rFonts w:eastAsia="Times New Roman" w:cstheme="minorHAnsi"/>
                <w:b/>
                <w:bCs/>
                <w:color w:val="000000"/>
                <w:lang w:eastAsia="fr-FR"/>
              </w:rPr>
              <w:t>Nombre de com/strate (</w:t>
            </w:r>
            <m:oMath>
              <m:sSub>
                <m:sSubPr>
                  <m:ctrlPr>
                    <w:rPr>
                      <w:rFonts w:ascii="Cambria Math" w:hAnsi="Cambria Math" w:cstheme="minorHAnsi"/>
                      <w:i/>
                      <w:lang w:eastAsia="fr-FR"/>
                    </w:rPr>
                  </m:ctrlPr>
                </m:sSubPr>
                <m:e>
                  <m:r>
                    <w:rPr>
                      <w:rFonts w:ascii="Cambria Math" w:hAnsi="Cambria Math" w:cstheme="minorHAnsi"/>
                      <w:lang w:eastAsia="fr-FR"/>
                    </w:rPr>
                    <m:t>N</m:t>
                  </m:r>
                </m:e>
                <m:sub>
                  <m:r>
                    <w:rPr>
                      <w:rFonts w:ascii="Cambria Math" w:hAnsi="Cambria Math" w:cstheme="minorHAnsi"/>
                      <w:lang w:eastAsia="fr-FR"/>
                    </w:rPr>
                    <m:t>h</m:t>
                  </m:r>
                </m:sub>
              </m:sSub>
            </m:oMath>
            <w:r w:rsidRPr="00775B68">
              <w:rPr>
                <w:rFonts w:eastAsia="Times New Roman" w:cstheme="minorHAnsi"/>
                <w:lang w:eastAsia="fr-FR"/>
              </w:rPr>
              <w:t>)</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1F1D7C12" w14:textId="77777777" w:rsidR="00326FC9" w:rsidRPr="00775B68" w:rsidRDefault="00326FC9" w:rsidP="00326FC9">
            <w:pPr>
              <w:spacing w:after="0" w:line="240" w:lineRule="auto"/>
              <w:jc w:val="center"/>
              <w:rPr>
                <w:rFonts w:eastAsia="Times New Roman" w:cstheme="minorHAnsi"/>
                <w:b/>
                <w:bCs/>
                <w:color w:val="000000"/>
                <w:lang w:eastAsia="fr-FR"/>
              </w:rPr>
            </w:pPr>
            <w:r w:rsidRPr="00775B68">
              <w:rPr>
                <w:rFonts w:eastAsia="Times New Roman" w:cstheme="minorHAnsi"/>
                <w:b/>
                <w:bCs/>
                <w:color w:val="000000"/>
                <w:lang w:eastAsia="fr-FR"/>
              </w:rPr>
              <w:t>Taille Echantillon/strate (</w:t>
            </w:r>
            <m:oMath>
              <m:sSub>
                <m:sSubPr>
                  <m:ctrlPr>
                    <w:rPr>
                      <w:rFonts w:ascii="Cambria Math" w:hAnsi="Cambria Math" w:cstheme="minorHAnsi"/>
                      <w:i/>
                      <w:lang w:eastAsia="fr-FR"/>
                    </w:rPr>
                  </m:ctrlPr>
                </m:sSubPr>
                <m:e>
                  <m:r>
                    <w:rPr>
                      <w:rFonts w:ascii="Cambria Math" w:hAnsi="Cambria Math" w:cstheme="minorHAnsi"/>
                      <w:lang w:eastAsia="fr-FR"/>
                    </w:rPr>
                    <m:t>n</m:t>
                  </m:r>
                </m:e>
                <m:sub>
                  <m:r>
                    <w:rPr>
                      <w:rFonts w:ascii="Cambria Math" w:hAnsi="Cambria Math" w:cstheme="minorHAnsi"/>
                      <w:lang w:eastAsia="fr-FR"/>
                    </w:rPr>
                    <m:t>h</m:t>
                  </m:r>
                </m:sub>
              </m:sSub>
              <m:r>
                <w:rPr>
                  <w:rFonts w:ascii="Cambria Math" w:hAnsi="Cambria Math" w:cstheme="minorHAnsi"/>
                  <w:lang w:eastAsia="fr-FR"/>
                </w:rPr>
                <m:t>)</m:t>
              </m:r>
            </m:oMath>
          </w:p>
        </w:tc>
      </w:tr>
      <w:tr w:rsidR="00326FC9" w:rsidRPr="00775B68" w14:paraId="74AB7BEF" w14:textId="77777777" w:rsidTr="004131F6">
        <w:trPr>
          <w:trHeight w:val="228"/>
        </w:trPr>
        <w:tc>
          <w:tcPr>
            <w:tcW w:w="4195" w:type="dxa"/>
            <w:tcBorders>
              <w:top w:val="nil"/>
              <w:left w:val="single" w:sz="4" w:space="0" w:color="auto"/>
              <w:bottom w:val="single" w:sz="4" w:space="0" w:color="auto"/>
              <w:right w:val="single" w:sz="4" w:space="0" w:color="auto"/>
            </w:tcBorders>
            <w:shd w:val="clear" w:color="auto" w:fill="auto"/>
            <w:noWrap/>
            <w:vAlign w:val="bottom"/>
            <w:hideMark/>
          </w:tcPr>
          <w:p w14:paraId="741C1FD7" w14:textId="77777777" w:rsidR="00326FC9" w:rsidRPr="00775B68" w:rsidRDefault="00326FC9" w:rsidP="00326FC9">
            <w:pPr>
              <w:spacing w:after="0" w:line="240" w:lineRule="auto"/>
              <w:rPr>
                <w:rFonts w:eastAsia="Times New Roman" w:cstheme="minorHAnsi"/>
                <w:color w:val="000000"/>
                <w:lang w:eastAsia="fr-FR"/>
              </w:rPr>
            </w:pPr>
            <w:r w:rsidRPr="00775B68">
              <w:rPr>
                <w:rFonts w:eastAsia="Times New Roman" w:cstheme="minorHAnsi"/>
                <w:color w:val="000000"/>
                <w:lang w:eastAsia="fr-FR"/>
              </w:rPr>
              <w:t>Zone Pastorale</w:t>
            </w:r>
          </w:p>
        </w:tc>
        <w:tc>
          <w:tcPr>
            <w:tcW w:w="2325" w:type="dxa"/>
            <w:tcBorders>
              <w:top w:val="nil"/>
              <w:left w:val="nil"/>
              <w:bottom w:val="single" w:sz="4" w:space="0" w:color="auto"/>
              <w:right w:val="single" w:sz="4" w:space="0" w:color="auto"/>
            </w:tcBorders>
            <w:shd w:val="clear" w:color="auto" w:fill="auto"/>
            <w:noWrap/>
            <w:vAlign w:val="center"/>
            <w:hideMark/>
          </w:tcPr>
          <w:p w14:paraId="75FE70F7" w14:textId="77777777" w:rsidR="00326FC9" w:rsidRPr="00775B68" w:rsidRDefault="00326FC9" w:rsidP="00326FC9">
            <w:pPr>
              <w:spacing w:after="0" w:line="240" w:lineRule="auto"/>
              <w:jc w:val="center"/>
              <w:rPr>
                <w:rFonts w:eastAsia="Times New Roman" w:cstheme="minorHAnsi"/>
                <w:color w:val="000000"/>
                <w:lang w:eastAsia="fr-FR"/>
              </w:rPr>
            </w:pPr>
            <w:r w:rsidRPr="00775B68">
              <w:rPr>
                <w:rFonts w:eastAsia="Times New Roman" w:cstheme="minorHAnsi"/>
                <w:color w:val="000000"/>
                <w:lang w:eastAsia="fr-FR"/>
              </w:rPr>
              <w:t>16</w:t>
            </w:r>
          </w:p>
        </w:tc>
        <w:tc>
          <w:tcPr>
            <w:tcW w:w="2410" w:type="dxa"/>
            <w:tcBorders>
              <w:top w:val="nil"/>
              <w:left w:val="nil"/>
              <w:bottom w:val="single" w:sz="4" w:space="0" w:color="auto"/>
              <w:right w:val="single" w:sz="4" w:space="0" w:color="auto"/>
            </w:tcBorders>
            <w:shd w:val="clear" w:color="auto" w:fill="auto"/>
            <w:noWrap/>
            <w:vAlign w:val="center"/>
            <w:hideMark/>
          </w:tcPr>
          <w:p w14:paraId="3D40A94B" w14:textId="77777777" w:rsidR="00326FC9" w:rsidRPr="00775B68" w:rsidRDefault="00326FC9" w:rsidP="00326FC9">
            <w:pPr>
              <w:spacing w:after="0" w:line="240" w:lineRule="auto"/>
              <w:jc w:val="center"/>
              <w:rPr>
                <w:rFonts w:eastAsia="Times New Roman" w:cstheme="minorHAnsi"/>
                <w:color w:val="000000"/>
                <w:lang w:eastAsia="fr-FR"/>
              </w:rPr>
            </w:pPr>
            <w:r w:rsidRPr="00775B68">
              <w:rPr>
                <w:rFonts w:eastAsia="Times New Roman" w:cstheme="minorHAnsi"/>
                <w:color w:val="000000"/>
                <w:lang w:eastAsia="fr-FR"/>
              </w:rPr>
              <w:t>4</w:t>
            </w:r>
          </w:p>
        </w:tc>
      </w:tr>
      <w:tr w:rsidR="00326FC9" w:rsidRPr="00775B68" w14:paraId="6FC2A7CA" w14:textId="77777777" w:rsidTr="004131F6">
        <w:trPr>
          <w:trHeight w:val="228"/>
        </w:trPr>
        <w:tc>
          <w:tcPr>
            <w:tcW w:w="4195" w:type="dxa"/>
            <w:tcBorders>
              <w:top w:val="nil"/>
              <w:left w:val="single" w:sz="4" w:space="0" w:color="auto"/>
              <w:bottom w:val="single" w:sz="4" w:space="0" w:color="auto"/>
              <w:right w:val="single" w:sz="4" w:space="0" w:color="auto"/>
            </w:tcBorders>
            <w:shd w:val="clear" w:color="auto" w:fill="auto"/>
            <w:noWrap/>
            <w:vAlign w:val="bottom"/>
            <w:hideMark/>
          </w:tcPr>
          <w:p w14:paraId="71BE69EC" w14:textId="77777777" w:rsidR="00326FC9" w:rsidRPr="00775B68" w:rsidRDefault="00326FC9" w:rsidP="00326FC9">
            <w:pPr>
              <w:spacing w:after="0" w:line="240" w:lineRule="auto"/>
              <w:rPr>
                <w:rFonts w:eastAsia="Times New Roman" w:cstheme="minorHAnsi"/>
                <w:color w:val="000000"/>
                <w:lang w:eastAsia="fr-FR"/>
              </w:rPr>
            </w:pPr>
            <w:r w:rsidRPr="00775B68">
              <w:rPr>
                <w:rFonts w:eastAsia="Times New Roman" w:cstheme="minorHAnsi"/>
                <w:color w:val="000000"/>
                <w:lang w:eastAsia="fr-FR"/>
              </w:rPr>
              <w:t>Zone agro-Pastorale à dominance Pastorale</w:t>
            </w:r>
          </w:p>
        </w:tc>
        <w:tc>
          <w:tcPr>
            <w:tcW w:w="2325" w:type="dxa"/>
            <w:tcBorders>
              <w:top w:val="nil"/>
              <w:left w:val="nil"/>
              <w:bottom w:val="single" w:sz="4" w:space="0" w:color="auto"/>
              <w:right w:val="single" w:sz="4" w:space="0" w:color="auto"/>
            </w:tcBorders>
            <w:shd w:val="clear" w:color="auto" w:fill="auto"/>
            <w:noWrap/>
            <w:vAlign w:val="center"/>
            <w:hideMark/>
          </w:tcPr>
          <w:p w14:paraId="30F2645E" w14:textId="77777777" w:rsidR="00326FC9" w:rsidRPr="00775B68" w:rsidRDefault="00326FC9" w:rsidP="00326FC9">
            <w:pPr>
              <w:spacing w:after="0" w:line="240" w:lineRule="auto"/>
              <w:jc w:val="center"/>
              <w:rPr>
                <w:rFonts w:eastAsia="Times New Roman" w:cstheme="minorHAnsi"/>
                <w:color w:val="000000"/>
                <w:lang w:eastAsia="fr-FR"/>
              </w:rPr>
            </w:pPr>
            <w:r w:rsidRPr="00775B68">
              <w:rPr>
                <w:rFonts w:eastAsia="Times New Roman" w:cstheme="minorHAnsi"/>
                <w:color w:val="000000"/>
                <w:lang w:eastAsia="fr-FR"/>
              </w:rPr>
              <w:t>16</w:t>
            </w:r>
          </w:p>
        </w:tc>
        <w:tc>
          <w:tcPr>
            <w:tcW w:w="2410" w:type="dxa"/>
            <w:tcBorders>
              <w:top w:val="nil"/>
              <w:left w:val="nil"/>
              <w:bottom w:val="single" w:sz="4" w:space="0" w:color="auto"/>
              <w:right w:val="single" w:sz="4" w:space="0" w:color="auto"/>
            </w:tcBorders>
            <w:shd w:val="clear" w:color="auto" w:fill="auto"/>
            <w:noWrap/>
            <w:vAlign w:val="center"/>
            <w:hideMark/>
          </w:tcPr>
          <w:p w14:paraId="5E0137B3" w14:textId="77777777" w:rsidR="00326FC9" w:rsidRPr="00775B68" w:rsidRDefault="00326FC9" w:rsidP="00326FC9">
            <w:pPr>
              <w:spacing w:after="0" w:line="240" w:lineRule="auto"/>
              <w:jc w:val="center"/>
              <w:rPr>
                <w:rFonts w:eastAsia="Times New Roman" w:cstheme="minorHAnsi"/>
                <w:color w:val="000000"/>
                <w:lang w:eastAsia="fr-FR"/>
              </w:rPr>
            </w:pPr>
            <w:r w:rsidRPr="00775B68">
              <w:rPr>
                <w:rFonts w:eastAsia="Times New Roman" w:cstheme="minorHAnsi"/>
                <w:color w:val="000000"/>
                <w:lang w:eastAsia="fr-FR"/>
              </w:rPr>
              <w:t>4</w:t>
            </w:r>
          </w:p>
        </w:tc>
      </w:tr>
      <w:tr w:rsidR="00326FC9" w:rsidRPr="00775B68" w14:paraId="522F3F76" w14:textId="77777777" w:rsidTr="004131F6">
        <w:trPr>
          <w:trHeight w:val="228"/>
        </w:trPr>
        <w:tc>
          <w:tcPr>
            <w:tcW w:w="4195" w:type="dxa"/>
            <w:tcBorders>
              <w:top w:val="nil"/>
              <w:left w:val="single" w:sz="4" w:space="0" w:color="auto"/>
              <w:bottom w:val="single" w:sz="4" w:space="0" w:color="auto"/>
              <w:right w:val="single" w:sz="4" w:space="0" w:color="auto"/>
            </w:tcBorders>
            <w:shd w:val="clear" w:color="auto" w:fill="auto"/>
            <w:noWrap/>
            <w:vAlign w:val="bottom"/>
            <w:hideMark/>
          </w:tcPr>
          <w:p w14:paraId="19ABE174" w14:textId="77777777" w:rsidR="00326FC9" w:rsidRPr="00775B68" w:rsidRDefault="00326FC9" w:rsidP="00326FC9">
            <w:pPr>
              <w:spacing w:after="0" w:line="240" w:lineRule="auto"/>
              <w:rPr>
                <w:rFonts w:eastAsia="Times New Roman" w:cstheme="minorHAnsi"/>
                <w:color w:val="000000"/>
                <w:lang w:eastAsia="fr-FR"/>
              </w:rPr>
            </w:pPr>
            <w:r w:rsidRPr="00775B68">
              <w:rPr>
                <w:rFonts w:eastAsia="Times New Roman" w:cstheme="minorHAnsi"/>
                <w:color w:val="000000"/>
                <w:lang w:eastAsia="fr-FR"/>
              </w:rPr>
              <w:t>Zone agro-pastorale à dominance Agricole</w:t>
            </w:r>
          </w:p>
        </w:tc>
        <w:tc>
          <w:tcPr>
            <w:tcW w:w="2325" w:type="dxa"/>
            <w:tcBorders>
              <w:top w:val="nil"/>
              <w:left w:val="nil"/>
              <w:bottom w:val="single" w:sz="4" w:space="0" w:color="auto"/>
              <w:right w:val="single" w:sz="4" w:space="0" w:color="auto"/>
            </w:tcBorders>
            <w:shd w:val="clear" w:color="auto" w:fill="auto"/>
            <w:noWrap/>
            <w:vAlign w:val="center"/>
            <w:hideMark/>
          </w:tcPr>
          <w:p w14:paraId="71F4D65C" w14:textId="77777777" w:rsidR="00326FC9" w:rsidRPr="00775B68" w:rsidRDefault="00326FC9" w:rsidP="00326FC9">
            <w:pPr>
              <w:spacing w:after="0" w:line="240" w:lineRule="auto"/>
              <w:jc w:val="center"/>
              <w:rPr>
                <w:rFonts w:eastAsia="Times New Roman" w:cstheme="minorHAnsi"/>
                <w:color w:val="000000"/>
                <w:lang w:eastAsia="fr-FR"/>
              </w:rPr>
            </w:pPr>
            <w:r w:rsidRPr="00775B68">
              <w:rPr>
                <w:rFonts w:eastAsia="Times New Roman" w:cstheme="minorHAnsi"/>
                <w:color w:val="000000"/>
                <w:lang w:eastAsia="fr-FR"/>
              </w:rPr>
              <w:t>4</w:t>
            </w:r>
          </w:p>
        </w:tc>
        <w:tc>
          <w:tcPr>
            <w:tcW w:w="2410" w:type="dxa"/>
            <w:tcBorders>
              <w:top w:val="nil"/>
              <w:left w:val="nil"/>
              <w:bottom w:val="single" w:sz="4" w:space="0" w:color="auto"/>
              <w:right w:val="single" w:sz="4" w:space="0" w:color="auto"/>
            </w:tcBorders>
            <w:shd w:val="clear" w:color="auto" w:fill="auto"/>
            <w:noWrap/>
            <w:vAlign w:val="center"/>
            <w:hideMark/>
          </w:tcPr>
          <w:p w14:paraId="58D0829A" w14:textId="77777777" w:rsidR="00326FC9" w:rsidRPr="00775B68" w:rsidRDefault="00326FC9" w:rsidP="00326FC9">
            <w:pPr>
              <w:spacing w:after="0" w:line="240" w:lineRule="auto"/>
              <w:jc w:val="center"/>
              <w:rPr>
                <w:rFonts w:eastAsia="Times New Roman" w:cstheme="minorHAnsi"/>
                <w:color w:val="000000"/>
                <w:lang w:eastAsia="fr-FR"/>
              </w:rPr>
            </w:pPr>
            <w:r w:rsidRPr="00775B68">
              <w:rPr>
                <w:rFonts w:eastAsia="Times New Roman" w:cstheme="minorHAnsi"/>
                <w:color w:val="000000"/>
                <w:lang w:eastAsia="fr-FR"/>
              </w:rPr>
              <w:t>1</w:t>
            </w:r>
          </w:p>
        </w:tc>
      </w:tr>
      <w:tr w:rsidR="00326FC9" w:rsidRPr="00775B68" w14:paraId="16026146" w14:textId="77777777" w:rsidTr="004131F6">
        <w:trPr>
          <w:trHeight w:val="228"/>
        </w:trPr>
        <w:tc>
          <w:tcPr>
            <w:tcW w:w="4195" w:type="dxa"/>
            <w:tcBorders>
              <w:top w:val="nil"/>
              <w:left w:val="single" w:sz="4" w:space="0" w:color="auto"/>
              <w:bottom w:val="single" w:sz="4" w:space="0" w:color="auto"/>
              <w:right w:val="single" w:sz="4" w:space="0" w:color="auto"/>
            </w:tcBorders>
            <w:shd w:val="clear" w:color="auto" w:fill="auto"/>
            <w:noWrap/>
            <w:vAlign w:val="bottom"/>
            <w:hideMark/>
          </w:tcPr>
          <w:p w14:paraId="79A272D2" w14:textId="77777777" w:rsidR="00326FC9" w:rsidRPr="00775B68" w:rsidRDefault="00326FC9" w:rsidP="00326FC9">
            <w:pPr>
              <w:spacing w:after="0" w:line="240" w:lineRule="auto"/>
              <w:rPr>
                <w:rFonts w:eastAsia="Times New Roman" w:cstheme="minorHAnsi"/>
                <w:color w:val="000000"/>
                <w:lang w:eastAsia="fr-FR"/>
              </w:rPr>
            </w:pPr>
            <w:r w:rsidRPr="00775B68">
              <w:rPr>
                <w:rFonts w:eastAsia="Times New Roman" w:cstheme="minorHAnsi"/>
                <w:color w:val="000000"/>
                <w:lang w:eastAsia="fr-FR"/>
              </w:rPr>
              <w:t>Zone agro-pastorale par excellence</w:t>
            </w:r>
          </w:p>
        </w:tc>
        <w:tc>
          <w:tcPr>
            <w:tcW w:w="2325" w:type="dxa"/>
            <w:tcBorders>
              <w:top w:val="nil"/>
              <w:left w:val="nil"/>
              <w:bottom w:val="single" w:sz="4" w:space="0" w:color="auto"/>
              <w:right w:val="single" w:sz="4" w:space="0" w:color="auto"/>
            </w:tcBorders>
            <w:shd w:val="clear" w:color="auto" w:fill="auto"/>
            <w:noWrap/>
            <w:vAlign w:val="center"/>
            <w:hideMark/>
          </w:tcPr>
          <w:p w14:paraId="681BE423" w14:textId="77777777" w:rsidR="00326FC9" w:rsidRPr="00775B68" w:rsidRDefault="00326FC9" w:rsidP="00326FC9">
            <w:pPr>
              <w:spacing w:after="0" w:line="240" w:lineRule="auto"/>
              <w:jc w:val="center"/>
              <w:rPr>
                <w:rFonts w:eastAsia="Times New Roman" w:cstheme="minorHAnsi"/>
                <w:color w:val="000000"/>
                <w:lang w:eastAsia="fr-FR"/>
              </w:rPr>
            </w:pPr>
            <w:r w:rsidRPr="00775B68">
              <w:rPr>
                <w:rFonts w:eastAsia="Times New Roman" w:cstheme="minorHAnsi"/>
                <w:color w:val="000000"/>
                <w:lang w:eastAsia="fr-FR"/>
              </w:rPr>
              <w:t>8</w:t>
            </w:r>
          </w:p>
        </w:tc>
        <w:tc>
          <w:tcPr>
            <w:tcW w:w="2410" w:type="dxa"/>
            <w:tcBorders>
              <w:top w:val="nil"/>
              <w:left w:val="nil"/>
              <w:bottom w:val="single" w:sz="4" w:space="0" w:color="auto"/>
              <w:right w:val="single" w:sz="4" w:space="0" w:color="auto"/>
            </w:tcBorders>
            <w:shd w:val="clear" w:color="auto" w:fill="auto"/>
            <w:noWrap/>
            <w:vAlign w:val="center"/>
            <w:hideMark/>
          </w:tcPr>
          <w:p w14:paraId="110C0AAE" w14:textId="77777777" w:rsidR="00326FC9" w:rsidRPr="00775B68" w:rsidRDefault="00326FC9" w:rsidP="00326FC9">
            <w:pPr>
              <w:spacing w:after="0" w:line="240" w:lineRule="auto"/>
              <w:jc w:val="center"/>
              <w:rPr>
                <w:rFonts w:eastAsia="Times New Roman" w:cstheme="minorHAnsi"/>
                <w:color w:val="000000"/>
                <w:lang w:eastAsia="fr-FR"/>
              </w:rPr>
            </w:pPr>
            <w:r w:rsidRPr="00775B68">
              <w:rPr>
                <w:rFonts w:eastAsia="Times New Roman" w:cstheme="minorHAnsi"/>
                <w:color w:val="000000"/>
                <w:lang w:eastAsia="fr-FR"/>
              </w:rPr>
              <w:t>2</w:t>
            </w:r>
          </w:p>
        </w:tc>
      </w:tr>
      <w:tr w:rsidR="00326FC9" w:rsidRPr="00775B68" w14:paraId="6E3D0C98" w14:textId="77777777" w:rsidTr="004131F6">
        <w:trPr>
          <w:trHeight w:val="228"/>
        </w:trPr>
        <w:tc>
          <w:tcPr>
            <w:tcW w:w="4195" w:type="dxa"/>
            <w:tcBorders>
              <w:top w:val="nil"/>
              <w:left w:val="single" w:sz="4" w:space="0" w:color="auto"/>
              <w:bottom w:val="single" w:sz="4" w:space="0" w:color="auto"/>
              <w:right w:val="single" w:sz="4" w:space="0" w:color="auto"/>
            </w:tcBorders>
            <w:shd w:val="clear" w:color="auto" w:fill="auto"/>
            <w:noWrap/>
            <w:vAlign w:val="bottom"/>
            <w:hideMark/>
          </w:tcPr>
          <w:p w14:paraId="745A6669" w14:textId="77777777" w:rsidR="00326FC9" w:rsidRPr="00775B68" w:rsidRDefault="00326FC9" w:rsidP="00326FC9">
            <w:pPr>
              <w:spacing w:after="0" w:line="240" w:lineRule="auto"/>
              <w:rPr>
                <w:rFonts w:eastAsia="Times New Roman" w:cstheme="minorHAnsi"/>
                <w:color w:val="000000"/>
                <w:lang w:eastAsia="fr-FR"/>
              </w:rPr>
            </w:pPr>
            <w:r w:rsidRPr="00775B68">
              <w:rPr>
                <w:rFonts w:eastAsia="Times New Roman" w:cstheme="minorHAnsi"/>
                <w:color w:val="000000"/>
                <w:lang w:eastAsia="fr-FR"/>
              </w:rPr>
              <w:t>Zone d'embouche et de commerce de bétail</w:t>
            </w:r>
          </w:p>
        </w:tc>
        <w:tc>
          <w:tcPr>
            <w:tcW w:w="2325" w:type="dxa"/>
            <w:tcBorders>
              <w:top w:val="nil"/>
              <w:left w:val="nil"/>
              <w:bottom w:val="single" w:sz="4" w:space="0" w:color="auto"/>
              <w:right w:val="single" w:sz="4" w:space="0" w:color="auto"/>
            </w:tcBorders>
            <w:shd w:val="clear" w:color="auto" w:fill="auto"/>
            <w:noWrap/>
            <w:vAlign w:val="center"/>
            <w:hideMark/>
          </w:tcPr>
          <w:p w14:paraId="4B17BBE3" w14:textId="77777777" w:rsidR="00326FC9" w:rsidRPr="00775B68" w:rsidRDefault="00326FC9" w:rsidP="00326FC9">
            <w:pPr>
              <w:spacing w:after="0" w:line="240" w:lineRule="auto"/>
              <w:jc w:val="center"/>
              <w:rPr>
                <w:rFonts w:eastAsia="Times New Roman" w:cstheme="minorHAnsi"/>
                <w:color w:val="000000"/>
                <w:lang w:eastAsia="fr-FR"/>
              </w:rPr>
            </w:pPr>
            <w:r w:rsidRPr="00775B68">
              <w:rPr>
                <w:rFonts w:eastAsia="Times New Roman" w:cstheme="minorHAnsi"/>
                <w:color w:val="000000"/>
                <w:lang w:eastAsia="fr-FR"/>
              </w:rPr>
              <w:t>4</w:t>
            </w:r>
          </w:p>
        </w:tc>
        <w:tc>
          <w:tcPr>
            <w:tcW w:w="2410" w:type="dxa"/>
            <w:tcBorders>
              <w:top w:val="nil"/>
              <w:left w:val="nil"/>
              <w:bottom w:val="single" w:sz="4" w:space="0" w:color="auto"/>
              <w:right w:val="single" w:sz="4" w:space="0" w:color="auto"/>
            </w:tcBorders>
            <w:shd w:val="clear" w:color="auto" w:fill="auto"/>
            <w:noWrap/>
            <w:vAlign w:val="center"/>
            <w:hideMark/>
          </w:tcPr>
          <w:p w14:paraId="688FC31D" w14:textId="77777777" w:rsidR="00326FC9" w:rsidRPr="00775B68" w:rsidRDefault="00326FC9" w:rsidP="00326FC9">
            <w:pPr>
              <w:spacing w:after="0" w:line="240" w:lineRule="auto"/>
              <w:jc w:val="center"/>
              <w:rPr>
                <w:rFonts w:eastAsia="Times New Roman" w:cstheme="minorHAnsi"/>
                <w:color w:val="000000"/>
                <w:lang w:eastAsia="fr-FR"/>
              </w:rPr>
            </w:pPr>
            <w:r w:rsidRPr="00775B68">
              <w:rPr>
                <w:rFonts w:eastAsia="Times New Roman" w:cstheme="minorHAnsi"/>
                <w:color w:val="000000"/>
                <w:lang w:eastAsia="fr-FR"/>
              </w:rPr>
              <w:t>1</w:t>
            </w:r>
          </w:p>
        </w:tc>
      </w:tr>
      <w:tr w:rsidR="00326FC9" w:rsidRPr="00775B68" w14:paraId="16392CD5" w14:textId="77777777" w:rsidTr="004131F6">
        <w:trPr>
          <w:trHeight w:val="228"/>
        </w:trPr>
        <w:tc>
          <w:tcPr>
            <w:tcW w:w="4195" w:type="dxa"/>
            <w:tcBorders>
              <w:top w:val="nil"/>
              <w:left w:val="single" w:sz="4" w:space="0" w:color="auto"/>
              <w:bottom w:val="single" w:sz="4" w:space="0" w:color="auto"/>
              <w:right w:val="single" w:sz="4" w:space="0" w:color="auto"/>
            </w:tcBorders>
            <w:shd w:val="clear" w:color="auto" w:fill="auto"/>
            <w:noWrap/>
            <w:vAlign w:val="bottom"/>
            <w:hideMark/>
          </w:tcPr>
          <w:p w14:paraId="371913FD" w14:textId="77777777" w:rsidR="00326FC9" w:rsidRPr="00775B68" w:rsidRDefault="00326FC9" w:rsidP="00326FC9">
            <w:pPr>
              <w:spacing w:after="0" w:line="240" w:lineRule="auto"/>
              <w:rPr>
                <w:rFonts w:eastAsia="Times New Roman" w:cstheme="minorHAnsi"/>
                <w:color w:val="000000"/>
                <w:lang w:eastAsia="fr-FR"/>
              </w:rPr>
            </w:pPr>
            <w:r w:rsidRPr="00775B68">
              <w:rPr>
                <w:rFonts w:eastAsia="Times New Roman" w:cstheme="minorHAnsi"/>
                <w:color w:val="000000"/>
                <w:lang w:eastAsia="fr-FR"/>
              </w:rPr>
              <w:t>Zone de transit</w:t>
            </w:r>
          </w:p>
        </w:tc>
        <w:tc>
          <w:tcPr>
            <w:tcW w:w="2325" w:type="dxa"/>
            <w:tcBorders>
              <w:top w:val="nil"/>
              <w:left w:val="nil"/>
              <w:bottom w:val="single" w:sz="4" w:space="0" w:color="auto"/>
              <w:right w:val="single" w:sz="4" w:space="0" w:color="auto"/>
            </w:tcBorders>
            <w:shd w:val="clear" w:color="auto" w:fill="auto"/>
            <w:noWrap/>
            <w:vAlign w:val="center"/>
            <w:hideMark/>
          </w:tcPr>
          <w:p w14:paraId="5820929F" w14:textId="77777777" w:rsidR="00326FC9" w:rsidRPr="00775B68" w:rsidRDefault="00326FC9" w:rsidP="00326FC9">
            <w:pPr>
              <w:spacing w:after="0" w:line="240" w:lineRule="auto"/>
              <w:jc w:val="center"/>
              <w:rPr>
                <w:rFonts w:eastAsia="Times New Roman" w:cstheme="minorHAnsi"/>
                <w:color w:val="000000"/>
                <w:lang w:eastAsia="fr-FR"/>
              </w:rPr>
            </w:pPr>
            <w:r w:rsidRPr="00775B68">
              <w:rPr>
                <w:rFonts w:eastAsia="Times New Roman" w:cstheme="minorHAnsi"/>
                <w:color w:val="000000"/>
                <w:lang w:eastAsia="fr-FR"/>
              </w:rPr>
              <w:t>12</w:t>
            </w:r>
          </w:p>
        </w:tc>
        <w:tc>
          <w:tcPr>
            <w:tcW w:w="2410" w:type="dxa"/>
            <w:tcBorders>
              <w:top w:val="nil"/>
              <w:left w:val="nil"/>
              <w:bottom w:val="single" w:sz="4" w:space="0" w:color="auto"/>
              <w:right w:val="single" w:sz="4" w:space="0" w:color="auto"/>
            </w:tcBorders>
            <w:shd w:val="clear" w:color="auto" w:fill="auto"/>
            <w:noWrap/>
            <w:vAlign w:val="center"/>
            <w:hideMark/>
          </w:tcPr>
          <w:p w14:paraId="74A5C310" w14:textId="77777777" w:rsidR="00326FC9" w:rsidRPr="00775B68" w:rsidRDefault="00326FC9" w:rsidP="00326FC9">
            <w:pPr>
              <w:spacing w:after="0" w:line="240" w:lineRule="auto"/>
              <w:jc w:val="center"/>
              <w:rPr>
                <w:rFonts w:eastAsia="Times New Roman" w:cstheme="minorHAnsi"/>
                <w:color w:val="000000"/>
                <w:lang w:eastAsia="fr-FR"/>
              </w:rPr>
            </w:pPr>
            <w:r w:rsidRPr="00775B68">
              <w:rPr>
                <w:rFonts w:eastAsia="Times New Roman" w:cstheme="minorHAnsi"/>
                <w:color w:val="000000"/>
                <w:lang w:eastAsia="fr-FR"/>
              </w:rPr>
              <w:t>3</w:t>
            </w:r>
          </w:p>
        </w:tc>
      </w:tr>
      <w:tr w:rsidR="00326FC9" w:rsidRPr="00775B68" w14:paraId="3AB25377" w14:textId="77777777" w:rsidTr="004131F6">
        <w:trPr>
          <w:trHeight w:val="228"/>
        </w:trPr>
        <w:tc>
          <w:tcPr>
            <w:tcW w:w="4195" w:type="dxa"/>
            <w:tcBorders>
              <w:top w:val="nil"/>
              <w:left w:val="single" w:sz="4" w:space="0" w:color="auto"/>
              <w:bottom w:val="single" w:sz="4" w:space="0" w:color="auto"/>
              <w:right w:val="single" w:sz="4" w:space="0" w:color="auto"/>
            </w:tcBorders>
            <w:shd w:val="clear" w:color="auto" w:fill="auto"/>
            <w:noWrap/>
            <w:vAlign w:val="bottom"/>
            <w:hideMark/>
          </w:tcPr>
          <w:p w14:paraId="2A79B023" w14:textId="77777777" w:rsidR="00326FC9" w:rsidRPr="00775B68" w:rsidRDefault="00326FC9" w:rsidP="00326FC9">
            <w:pPr>
              <w:spacing w:after="0" w:line="240" w:lineRule="auto"/>
              <w:rPr>
                <w:rFonts w:eastAsia="Times New Roman" w:cstheme="minorHAnsi"/>
                <w:color w:val="000000"/>
                <w:lang w:eastAsia="fr-FR"/>
              </w:rPr>
            </w:pPr>
            <w:r w:rsidRPr="00775B68">
              <w:rPr>
                <w:rFonts w:eastAsia="Times New Roman" w:cstheme="minorHAnsi"/>
                <w:color w:val="000000"/>
                <w:lang w:eastAsia="fr-FR"/>
              </w:rPr>
              <w:t>Total</w:t>
            </w:r>
          </w:p>
        </w:tc>
        <w:tc>
          <w:tcPr>
            <w:tcW w:w="2325" w:type="dxa"/>
            <w:tcBorders>
              <w:top w:val="nil"/>
              <w:left w:val="nil"/>
              <w:bottom w:val="single" w:sz="4" w:space="0" w:color="auto"/>
              <w:right w:val="single" w:sz="4" w:space="0" w:color="auto"/>
            </w:tcBorders>
            <w:shd w:val="clear" w:color="auto" w:fill="auto"/>
            <w:noWrap/>
            <w:vAlign w:val="center"/>
            <w:hideMark/>
          </w:tcPr>
          <w:p w14:paraId="1966F081" w14:textId="77777777" w:rsidR="00326FC9" w:rsidRPr="00775B68" w:rsidRDefault="00326FC9" w:rsidP="00326FC9">
            <w:pPr>
              <w:spacing w:after="0" w:line="240" w:lineRule="auto"/>
              <w:jc w:val="center"/>
              <w:rPr>
                <w:rFonts w:eastAsia="Times New Roman" w:cstheme="minorHAnsi"/>
                <w:color w:val="000000"/>
                <w:lang w:eastAsia="fr-FR"/>
              </w:rPr>
            </w:pPr>
            <w:r w:rsidRPr="00775B68">
              <w:rPr>
                <w:rFonts w:eastAsia="Times New Roman" w:cstheme="minorHAnsi"/>
                <w:color w:val="000000"/>
                <w:lang w:eastAsia="fr-FR"/>
              </w:rPr>
              <w:t>60</w:t>
            </w:r>
          </w:p>
        </w:tc>
        <w:tc>
          <w:tcPr>
            <w:tcW w:w="2410" w:type="dxa"/>
            <w:tcBorders>
              <w:top w:val="nil"/>
              <w:left w:val="nil"/>
              <w:bottom w:val="single" w:sz="4" w:space="0" w:color="auto"/>
              <w:right w:val="single" w:sz="4" w:space="0" w:color="auto"/>
            </w:tcBorders>
            <w:shd w:val="clear" w:color="auto" w:fill="auto"/>
            <w:noWrap/>
            <w:vAlign w:val="center"/>
            <w:hideMark/>
          </w:tcPr>
          <w:p w14:paraId="1D254AC6" w14:textId="77777777" w:rsidR="00326FC9" w:rsidRPr="00775B68" w:rsidRDefault="00326FC9" w:rsidP="00870393">
            <w:pPr>
              <w:keepNext/>
              <w:spacing w:after="0" w:line="240" w:lineRule="auto"/>
              <w:jc w:val="center"/>
              <w:rPr>
                <w:rFonts w:eastAsia="Times New Roman" w:cstheme="minorHAnsi"/>
                <w:color w:val="000000"/>
                <w:lang w:eastAsia="fr-FR"/>
              </w:rPr>
            </w:pPr>
            <w:r w:rsidRPr="00775B68">
              <w:rPr>
                <w:rFonts w:eastAsia="Times New Roman" w:cstheme="minorHAnsi"/>
                <w:color w:val="000000"/>
                <w:lang w:eastAsia="fr-FR"/>
              </w:rPr>
              <w:t>15</w:t>
            </w:r>
          </w:p>
        </w:tc>
      </w:tr>
    </w:tbl>
    <w:p w14:paraId="281620F4" w14:textId="77777777" w:rsidR="00870393" w:rsidRDefault="00870393" w:rsidP="0022529E">
      <w:pPr>
        <w:spacing w:after="0"/>
        <w:jc w:val="both"/>
        <w:rPr>
          <w:rFonts w:cstheme="minorHAnsi"/>
          <w:bCs/>
          <w:iCs/>
          <w:color w:val="000000" w:themeColor="text1"/>
          <w:lang w:eastAsia="fr-FR"/>
        </w:rPr>
      </w:pPr>
    </w:p>
    <w:p w14:paraId="6638C549" w14:textId="21C545DE" w:rsidR="00326FC9" w:rsidRPr="00775B68" w:rsidRDefault="00326FC9" w:rsidP="0022529E">
      <w:pPr>
        <w:spacing w:after="0"/>
        <w:jc w:val="both"/>
        <w:rPr>
          <w:rFonts w:cstheme="minorHAnsi"/>
          <w:bCs/>
          <w:iCs/>
          <w:color w:val="000000" w:themeColor="text1"/>
          <w:lang w:eastAsia="fr-FR"/>
        </w:rPr>
      </w:pPr>
      <w:r w:rsidRPr="00775B68">
        <w:rPr>
          <w:rFonts w:cstheme="minorHAnsi"/>
          <w:bCs/>
          <w:iCs/>
          <w:color w:val="000000" w:themeColor="text1"/>
          <w:lang w:eastAsia="fr-FR"/>
        </w:rPr>
        <w:t>Dans chaque strate, on effectue un tirage aléatoire simple des communes. En désignant par :</w:t>
      </w:r>
    </w:p>
    <w:p w14:paraId="2AF55F2E" w14:textId="77777777" w:rsidR="00326FC9" w:rsidRPr="00775B68" w:rsidRDefault="00326FC9" w:rsidP="0022529E">
      <w:pPr>
        <w:spacing w:after="0"/>
        <w:jc w:val="both"/>
        <w:rPr>
          <w:rFonts w:cstheme="minorHAnsi"/>
          <w:bCs/>
          <w:iCs/>
          <w:color w:val="000000" w:themeColor="text1"/>
          <w:lang w:eastAsia="fr-FR"/>
        </w:rPr>
      </w:pPr>
      <w:r w:rsidRPr="00775B68">
        <w:rPr>
          <w:rFonts w:cstheme="minorHAnsi"/>
          <w:bCs/>
          <w:iCs/>
          <w:color w:val="000000" w:themeColor="text1"/>
          <w:lang w:eastAsia="fr-FR"/>
        </w:rPr>
        <w:t>H : le nombre de strate (indice h, H=6) ;</w:t>
      </w:r>
    </w:p>
    <w:p w14:paraId="22514380" w14:textId="77777777" w:rsidR="00326FC9" w:rsidRPr="00775B68" w:rsidRDefault="00326FC9" w:rsidP="0022529E">
      <w:pPr>
        <w:spacing w:after="0"/>
        <w:jc w:val="both"/>
        <w:rPr>
          <w:rFonts w:cstheme="minorHAnsi"/>
          <w:bCs/>
          <w:iCs/>
          <w:color w:val="000000" w:themeColor="text1"/>
          <w:lang w:eastAsia="fr-FR"/>
        </w:rPr>
      </w:pPr>
      <w:proofErr w:type="spellStart"/>
      <w:r w:rsidRPr="00775B68">
        <w:rPr>
          <w:rFonts w:cstheme="minorHAnsi"/>
          <w:bCs/>
          <w:iCs/>
          <w:color w:val="000000" w:themeColor="text1"/>
          <w:lang w:eastAsia="fr-FR"/>
        </w:rPr>
        <w:t>N</w:t>
      </w:r>
      <w:r w:rsidRPr="00775B68">
        <w:rPr>
          <w:rFonts w:cstheme="minorHAnsi"/>
          <w:bCs/>
          <w:iCs/>
          <w:color w:val="000000" w:themeColor="text1"/>
          <w:vertAlign w:val="subscript"/>
          <w:lang w:eastAsia="fr-FR"/>
        </w:rPr>
        <w:t>h</w:t>
      </w:r>
      <w:proofErr w:type="spellEnd"/>
      <w:r w:rsidRPr="00775B68">
        <w:rPr>
          <w:rFonts w:cstheme="minorHAnsi"/>
          <w:bCs/>
          <w:iCs/>
          <w:color w:val="000000" w:themeColor="text1"/>
          <w:lang w:eastAsia="fr-FR"/>
        </w:rPr>
        <w:t> : nombre total de communes dans la strate h ;</w:t>
      </w:r>
    </w:p>
    <w:p w14:paraId="22974C89" w14:textId="77777777" w:rsidR="00326FC9" w:rsidRPr="00775B68" w:rsidRDefault="00326FC9" w:rsidP="0022529E">
      <w:pPr>
        <w:spacing w:after="0"/>
        <w:jc w:val="both"/>
        <w:rPr>
          <w:rFonts w:cstheme="minorHAnsi"/>
          <w:bCs/>
          <w:iCs/>
          <w:color w:val="000000" w:themeColor="text1"/>
          <w:lang w:eastAsia="fr-FR"/>
        </w:rPr>
      </w:pPr>
      <w:proofErr w:type="spellStart"/>
      <w:proofErr w:type="gramStart"/>
      <w:r w:rsidRPr="00775B68">
        <w:rPr>
          <w:rFonts w:cstheme="minorHAnsi"/>
          <w:bCs/>
          <w:iCs/>
          <w:color w:val="000000" w:themeColor="text1"/>
          <w:lang w:eastAsia="fr-FR"/>
        </w:rPr>
        <w:t>n</w:t>
      </w:r>
      <w:r w:rsidRPr="00775B68">
        <w:rPr>
          <w:rFonts w:cstheme="minorHAnsi"/>
          <w:bCs/>
          <w:iCs/>
          <w:color w:val="000000" w:themeColor="text1"/>
          <w:vertAlign w:val="subscript"/>
          <w:lang w:eastAsia="fr-FR"/>
        </w:rPr>
        <w:t>h</w:t>
      </w:r>
      <w:proofErr w:type="spellEnd"/>
      <w:proofErr w:type="gramEnd"/>
      <w:r w:rsidRPr="00775B68">
        <w:rPr>
          <w:rFonts w:cstheme="minorHAnsi"/>
          <w:bCs/>
          <w:iCs/>
          <w:color w:val="000000" w:themeColor="text1"/>
          <w:lang w:eastAsia="fr-FR"/>
        </w:rPr>
        <w:t> : échantillon de communes tiré dans la strate h.</w:t>
      </w:r>
    </w:p>
    <w:p w14:paraId="215FDEBE" w14:textId="77777777" w:rsidR="00326FC9" w:rsidRPr="00775B68" w:rsidRDefault="00326FC9" w:rsidP="0022529E">
      <w:pPr>
        <w:spacing w:after="0"/>
        <w:jc w:val="both"/>
        <w:rPr>
          <w:rFonts w:cstheme="minorHAnsi"/>
          <w:bCs/>
          <w:iCs/>
          <w:color w:val="000000" w:themeColor="text1"/>
          <w:lang w:eastAsia="fr-FR"/>
        </w:rPr>
      </w:pPr>
      <w:r w:rsidRPr="00775B68">
        <w:rPr>
          <w:rFonts w:cstheme="minorHAnsi"/>
          <w:bCs/>
          <w:iCs/>
          <w:color w:val="000000" w:themeColor="text1"/>
          <w:lang w:eastAsia="fr-FR"/>
        </w:rPr>
        <w:t>Comme il s’agit d’un tirage aléatoire sans remise des communes dans chaque strate, la probabilité d’inclusion des communes de la strate h est donnée par :</w:t>
      </w:r>
    </w:p>
    <w:p w14:paraId="23B66372" w14:textId="25387B37" w:rsidR="00B667A2" w:rsidRPr="00616224" w:rsidRDefault="008339A9" w:rsidP="00616224">
      <w:pPr>
        <w:spacing w:after="0"/>
        <w:jc w:val="center"/>
        <w:rPr>
          <w:rFonts w:eastAsiaTheme="minorEastAsia" w:cstheme="minorHAnsi"/>
          <w:lang w:eastAsia="fr-FR"/>
        </w:rPr>
      </w:pPr>
      <m:oMathPara>
        <m:oMathParaPr>
          <m:jc m:val="center"/>
        </m:oMathParaPr>
        <m:oMath>
          <m:sSub>
            <m:sSubPr>
              <m:ctrlPr>
                <w:rPr>
                  <w:rFonts w:ascii="Cambria Math" w:hAnsi="Cambria Math" w:cstheme="minorHAnsi"/>
                  <w:bCs/>
                  <w:iCs/>
                  <w:color w:val="000000" w:themeColor="text1"/>
                  <w:vertAlign w:val="subscript"/>
                  <w:lang w:eastAsia="fr-FR"/>
                </w:rPr>
              </m:ctrlPr>
            </m:sSubPr>
            <m:e>
              <m:r>
                <w:rPr>
                  <w:rFonts w:ascii="Cambria Math" w:hAnsi="Cambria Math" w:cstheme="minorHAnsi"/>
                  <w:color w:val="000000" w:themeColor="text1"/>
                  <w:vertAlign w:val="subscript"/>
                  <w:lang w:eastAsia="fr-FR"/>
                </w:rPr>
                <m:t>f</m:t>
              </m:r>
            </m:e>
            <m:sub>
              <m:r>
                <w:rPr>
                  <w:rFonts w:ascii="Cambria Math" w:hAnsi="Cambria Math" w:cstheme="minorHAnsi"/>
                  <w:color w:val="000000" w:themeColor="text1"/>
                  <w:vertAlign w:val="subscript"/>
                  <w:lang w:eastAsia="fr-FR"/>
                </w:rPr>
                <m:t>1</m:t>
              </m:r>
              <m:r>
                <w:rPr>
                  <w:rFonts w:ascii="Cambria Math" w:hAnsi="Cambria Math" w:cstheme="minorHAnsi"/>
                  <w:color w:val="000000" w:themeColor="text1"/>
                  <w:vertAlign w:val="subscript"/>
                  <w:lang w:eastAsia="fr-FR"/>
                </w:rPr>
                <m:t>h</m:t>
              </m:r>
            </m:sub>
          </m:sSub>
          <m:r>
            <m:rPr>
              <m:sty m:val="p"/>
            </m:rPr>
            <w:rPr>
              <w:rFonts w:ascii="Cambria Math" w:hAnsi="Cambria Math" w:cstheme="minorHAnsi"/>
              <w:color w:val="000000" w:themeColor="text1"/>
              <w:vertAlign w:val="subscript"/>
              <w:lang w:eastAsia="fr-FR"/>
            </w:rPr>
            <m:t xml:space="preserve"> </m:t>
          </m:r>
          <m:r>
            <m:rPr>
              <m:sty m:val="p"/>
            </m:rPr>
            <w:rPr>
              <w:rFonts w:ascii="Cambria Math" w:hAnsi="Cambria Math" w:cstheme="minorHAnsi"/>
              <w:lang w:eastAsia="fr-FR"/>
            </w:rPr>
            <m:t>=</m:t>
          </m:r>
          <m:f>
            <m:fPr>
              <m:ctrlPr>
                <w:rPr>
                  <w:rFonts w:ascii="Cambria Math" w:hAnsi="Cambria Math" w:cstheme="minorHAnsi"/>
                  <w:lang w:eastAsia="fr-FR"/>
                </w:rPr>
              </m:ctrlPr>
            </m:fPr>
            <m:num>
              <m:sSub>
                <m:sSubPr>
                  <m:ctrlPr>
                    <w:rPr>
                      <w:rFonts w:ascii="Cambria Math" w:hAnsi="Cambria Math" w:cstheme="minorHAnsi"/>
                      <w:i/>
                      <w:lang w:eastAsia="fr-FR"/>
                    </w:rPr>
                  </m:ctrlPr>
                </m:sSubPr>
                <m:e>
                  <m:r>
                    <w:rPr>
                      <w:rFonts w:ascii="Cambria Math" w:hAnsi="Cambria Math" w:cstheme="minorHAnsi"/>
                      <w:lang w:eastAsia="fr-FR"/>
                    </w:rPr>
                    <m:t>n</m:t>
                  </m:r>
                </m:e>
                <m:sub>
                  <m:r>
                    <w:rPr>
                      <w:rFonts w:ascii="Cambria Math" w:hAnsi="Cambria Math" w:cstheme="minorHAnsi"/>
                      <w:lang w:eastAsia="fr-FR"/>
                    </w:rPr>
                    <m:t>h</m:t>
                  </m:r>
                </m:sub>
              </m:sSub>
            </m:num>
            <m:den>
              <m:sSub>
                <m:sSubPr>
                  <m:ctrlPr>
                    <w:rPr>
                      <w:rFonts w:ascii="Cambria Math" w:hAnsi="Cambria Math" w:cstheme="minorHAnsi"/>
                      <w:i/>
                      <w:lang w:eastAsia="fr-FR"/>
                    </w:rPr>
                  </m:ctrlPr>
                </m:sSubPr>
                <m:e>
                  <m:r>
                    <w:rPr>
                      <w:rFonts w:ascii="Cambria Math" w:hAnsi="Cambria Math" w:cstheme="minorHAnsi"/>
                      <w:lang w:eastAsia="fr-FR"/>
                    </w:rPr>
                    <m:t>N</m:t>
                  </m:r>
                </m:e>
                <m:sub>
                  <m:r>
                    <w:rPr>
                      <w:rFonts w:ascii="Cambria Math" w:hAnsi="Cambria Math" w:cstheme="minorHAnsi"/>
                      <w:lang w:eastAsia="fr-FR"/>
                    </w:rPr>
                    <m:t>h</m:t>
                  </m:r>
                </m:sub>
              </m:sSub>
            </m:den>
          </m:f>
        </m:oMath>
      </m:oMathPara>
    </w:p>
    <w:p w14:paraId="046B6A4B" w14:textId="0BB74F9B" w:rsidR="00B667A2" w:rsidRPr="00B667A2" w:rsidRDefault="00B667A2" w:rsidP="0056146E">
      <w:pPr>
        <w:pStyle w:val="Paragraphedeliste"/>
        <w:numPr>
          <w:ilvl w:val="0"/>
          <w:numId w:val="5"/>
        </w:numPr>
        <w:jc w:val="both"/>
        <w:rPr>
          <w:b/>
          <w:i/>
        </w:rPr>
      </w:pPr>
      <w:r w:rsidRPr="00B667A2">
        <w:rPr>
          <w:b/>
          <w:i/>
        </w:rPr>
        <w:t>Second degré du tirage</w:t>
      </w:r>
    </w:p>
    <w:p w14:paraId="7C581906" w14:textId="03F7FD3D" w:rsidR="002222A9" w:rsidRPr="00775B68" w:rsidRDefault="005F1702" w:rsidP="0022529E">
      <w:pPr>
        <w:jc w:val="both"/>
        <w:rPr>
          <w:rFonts w:cstheme="minorHAnsi"/>
          <w:bCs/>
          <w:iCs/>
          <w:color w:val="000000" w:themeColor="text1"/>
          <w:lang w:eastAsia="fr-FR"/>
        </w:rPr>
      </w:pPr>
      <w:r>
        <w:t xml:space="preserve">Au deuxième degré, un échantillon de 60 villages est tiré de façon aléatoire à raison de 4 villages dans chaque commune. </w:t>
      </w:r>
      <w:r w:rsidR="002222A9">
        <w:t xml:space="preserve">Soit </w:t>
      </w:r>
      <w:proofErr w:type="spellStart"/>
      <w:r w:rsidR="002222A9" w:rsidRPr="00775B68">
        <w:rPr>
          <w:rFonts w:cstheme="minorHAnsi"/>
          <w:bCs/>
          <w:iCs/>
          <w:color w:val="000000" w:themeColor="text1"/>
          <w:lang w:eastAsia="fr-FR"/>
        </w:rPr>
        <w:t>m</w:t>
      </w:r>
      <w:r w:rsidR="002222A9" w:rsidRPr="00775B68">
        <w:rPr>
          <w:rFonts w:cstheme="minorHAnsi"/>
          <w:bCs/>
          <w:iCs/>
          <w:color w:val="000000" w:themeColor="text1"/>
          <w:vertAlign w:val="subscript"/>
          <w:lang w:eastAsia="fr-FR"/>
        </w:rPr>
        <w:t>ih</w:t>
      </w:r>
      <w:proofErr w:type="spellEnd"/>
      <w:r w:rsidR="002222A9" w:rsidRPr="00775B68">
        <w:rPr>
          <w:rFonts w:cstheme="minorHAnsi"/>
          <w:bCs/>
          <w:iCs/>
          <w:color w:val="000000" w:themeColor="text1"/>
          <w:vertAlign w:val="subscript"/>
          <w:lang w:eastAsia="fr-FR"/>
        </w:rPr>
        <w:t> </w:t>
      </w:r>
      <w:r w:rsidR="002222A9">
        <w:rPr>
          <w:rFonts w:cstheme="minorHAnsi"/>
          <w:bCs/>
          <w:iCs/>
          <w:color w:val="000000" w:themeColor="text1"/>
          <w:lang w:eastAsia="fr-FR"/>
        </w:rPr>
        <w:t>un</w:t>
      </w:r>
      <w:r w:rsidR="002222A9" w:rsidRPr="00775B68">
        <w:rPr>
          <w:rFonts w:cstheme="minorHAnsi"/>
          <w:bCs/>
          <w:iCs/>
          <w:color w:val="000000" w:themeColor="text1"/>
          <w:lang w:eastAsia="fr-FR"/>
        </w:rPr>
        <w:t xml:space="preserve"> échantillon de villages tirés dans la commune i de la strate h (</w:t>
      </w:r>
      <w:proofErr w:type="spellStart"/>
      <w:r w:rsidR="002222A9" w:rsidRPr="00775B68">
        <w:rPr>
          <w:rFonts w:cstheme="minorHAnsi"/>
          <w:bCs/>
          <w:iCs/>
          <w:color w:val="000000" w:themeColor="text1"/>
          <w:lang w:eastAsia="fr-FR"/>
        </w:rPr>
        <w:t>m</w:t>
      </w:r>
      <w:r w:rsidR="002222A9" w:rsidRPr="00775B68">
        <w:rPr>
          <w:rFonts w:cstheme="minorHAnsi"/>
          <w:bCs/>
          <w:iCs/>
          <w:color w:val="000000" w:themeColor="text1"/>
          <w:vertAlign w:val="subscript"/>
          <w:lang w:eastAsia="fr-FR"/>
        </w:rPr>
        <w:t>ih</w:t>
      </w:r>
      <w:proofErr w:type="spellEnd"/>
      <w:r w:rsidR="002222A9" w:rsidRPr="00775B68">
        <w:rPr>
          <w:rFonts w:cstheme="minorHAnsi"/>
          <w:bCs/>
          <w:iCs/>
          <w:color w:val="000000" w:themeColor="text1"/>
          <w:vertAlign w:val="subscript"/>
          <w:lang w:eastAsia="fr-FR"/>
        </w:rPr>
        <w:t> </w:t>
      </w:r>
      <w:r w:rsidR="002222A9" w:rsidRPr="00775B68">
        <w:rPr>
          <w:rFonts w:cstheme="minorHAnsi"/>
          <w:bCs/>
          <w:iCs/>
          <w:color w:val="000000" w:themeColor="text1"/>
          <w:lang w:eastAsia="fr-FR"/>
        </w:rPr>
        <w:t>= 4</w:t>
      </w:r>
      <w:r w:rsidR="002222A9">
        <w:rPr>
          <w:rFonts w:cstheme="minorHAnsi"/>
          <w:bCs/>
          <w:iCs/>
          <w:color w:val="000000" w:themeColor="text1"/>
          <w:lang w:eastAsia="fr-FR"/>
        </w:rPr>
        <w:t xml:space="preserve"> dans le cas de notre étude</w:t>
      </w:r>
      <w:r w:rsidR="002222A9" w:rsidRPr="00775B68">
        <w:rPr>
          <w:rFonts w:cstheme="minorHAnsi"/>
          <w:bCs/>
          <w:iCs/>
          <w:color w:val="000000" w:themeColor="text1"/>
          <w:lang w:eastAsia="fr-FR"/>
        </w:rPr>
        <w:t>)</w:t>
      </w:r>
      <w:r w:rsidR="002222A9">
        <w:rPr>
          <w:rFonts w:cstheme="minorHAnsi"/>
          <w:bCs/>
          <w:iCs/>
          <w:color w:val="000000" w:themeColor="text1"/>
          <w:lang w:eastAsia="fr-FR"/>
        </w:rPr>
        <w:t xml:space="preserve">. </w:t>
      </w:r>
      <w:r w:rsidR="002222A9" w:rsidRPr="00775B68">
        <w:rPr>
          <w:rFonts w:cstheme="minorHAnsi"/>
          <w:bCs/>
          <w:iCs/>
          <w:color w:val="000000" w:themeColor="text1"/>
          <w:lang w:eastAsia="fr-FR"/>
        </w:rPr>
        <w:t>La probabilité d’inclusion des villages de la commune i de la strate h est donnée par :</w:t>
      </w:r>
    </w:p>
    <w:p w14:paraId="5AC4ED4B" w14:textId="3B9AF344" w:rsidR="002222A9" w:rsidRPr="00775B68" w:rsidRDefault="008339A9" w:rsidP="00616224">
      <w:pPr>
        <w:jc w:val="center"/>
        <w:rPr>
          <w:rFonts w:eastAsiaTheme="minorEastAsia" w:cstheme="minorHAnsi"/>
          <w:lang w:eastAsia="fr-FR"/>
        </w:rPr>
      </w:pPr>
      <m:oMathPara>
        <m:oMath>
          <m:sSub>
            <m:sSubPr>
              <m:ctrlPr>
                <w:rPr>
                  <w:rFonts w:ascii="Cambria Math" w:hAnsi="Cambria Math" w:cstheme="minorHAnsi"/>
                  <w:bCs/>
                  <w:iCs/>
                  <w:color w:val="000000" w:themeColor="text1"/>
                  <w:vertAlign w:val="subscript"/>
                  <w:lang w:eastAsia="fr-FR"/>
                </w:rPr>
              </m:ctrlPr>
            </m:sSubPr>
            <m:e>
              <m:r>
                <w:rPr>
                  <w:rFonts w:ascii="Cambria Math" w:hAnsi="Cambria Math" w:cstheme="minorHAnsi"/>
                  <w:color w:val="000000" w:themeColor="text1"/>
                  <w:vertAlign w:val="subscript"/>
                  <w:lang w:eastAsia="fr-FR"/>
                </w:rPr>
                <m:t>f</m:t>
              </m:r>
            </m:e>
            <m:sub>
              <m:r>
                <w:rPr>
                  <w:rFonts w:ascii="Cambria Math" w:hAnsi="Cambria Math" w:cstheme="minorHAnsi"/>
                  <w:color w:val="000000" w:themeColor="text1"/>
                  <w:vertAlign w:val="subscript"/>
                  <w:lang w:eastAsia="fr-FR"/>
                </w:rPr>
                <m:t>2ih</m:t>
              </m:r>
            </m:sub>
          </m:sSub>
          <m:r>
            <m:rPr>
              <m:sty m:val="p"/>
            </m:rPr>
            <w:rPr>
              <w:rFonts w:ascii="Cambria Math" w:hAnsi="Cambria Math" w:cstheme="minorHAnsi"/>
              <w:color w:val="000000" w:themeColor="text1"/>
              <w:vertAlign w:val="subscript"/>
              <w:lang w:eastAsia="fr-FR"/>
            </w:rPr>
            <m:t xml:space="preserve"> </m:t>
          </m:r>
          <m:r>
            <m:rPr>
              <m:sty m:val="p"/>
            </m:rPr>
            <w:rPr>
              <w:rFonts w:ascii="Cambria Math" w:hAnsi="Cambria Math" w:cstheme="minorHAnsi"/>
              <w:lang w:eastAsia="fr-FR"/>
            </w:rPr>
            <m:t>=</m:t>
          </m:r>
          <m:f>
            <m:fPr>
              <m:ctrlPr>
                <w:rPr>
                  <w:rFonts w:ascii="Cambria Math" w:hAnsi="Cambria Math" w:cstheme="minorHAnsi"/>
                  <w:lang w:eastAsia="fr-FR"/>
                </w:rPr>
              </m:ctrlPr>
            </m:fPr>
            <m:num>
              <m:sSub>
                <m:sSubPr>
                  <m:ctrlPr>
                    <w:rPr>
                      <w:rFonts w:ascii="Cambria Math" w:hAnsi="Cambria Math" w:cstheme="minorHAnsi"/>
                      <w:i/>
                      <w:lang w:eastAsia="fr-FR"/>
                    </w:rPr>
                  </m:ctrlPr>
                </m:sSubPr>
                <m:e>
                  <m:r>
                    <w:rPr>
                      <w:rFonts w:ascii="Cambria Math" w:hAnsi="Cambria Math" w:cstheme="minorHAnsi"/>
                      <w:lang w:eastAsia="fr-FR"/>
                    </w:rPr>
                    <m:t>m</m:t>
                  </m:r>
                </m:e>
                <m:sub>
                  <m:r>
                    <w:rPr>
                      <w:rFonts w:ascii="Cambria Math" w:hAnsi="Cambria Math" w:cstheme="minorHAnsi"/>
                      <w:lang w:eastAsia="fr-FR"/>
                    </w:rPr>
                    <m:t>ih</m:t>
                  </m:r>
                </m:sub>
              </m:sSub>
            </m:num>
            <m:den>
              <m:sSub>
                <m:sSubPr>
                  <m:ctrlPr>
                    <w:rPr>
                      <w:rFonts w:ascii="Cambria Math" w:hAnsi="Cambria Math" w:cstheme="minorHAnsi"/>
                      <w:i/>
                      <w:lang w:eastAsia="fr-FR"/>
                    </w:rPr>
                  </m:ctrlPr>
                </m:sSubPr>
                <m:e>
                  <m:r>
                    <w:rPr>
                      <w:rFonts w:ascii="Cambria Math" w:hAnsi="Cambria Math" w:cstheme="minorHAnsi"/>
                      <w:lang w:eastAsia="fr-FR"/>
                    </w:rPr>
                    <m:t>M</m:t>
                  </m:r>
                </m:e>
                <m:sub>
                  <m:r>
                    <w:rPr>
                      <w:rFonts w:ascii="Cambria Math" w:hAnsi="Cambria Math" w:cstheme="minorHAnsi"/>
                      <w:lang w:eastAsia="fr-FR"/>
                    </w:rPr>
                    <m:t>ih</m:t>
                  </m:r>
                </m:sub>
              </m:sSub>
            </m:den>
          </m:f>
        </m:oMath>
      </m:oMathPara>
    </w:p>
    <w:p w14:paraId="4C6C3849" w14:textId="1E4F3D2B" w:rsidR="002222A9" w:rsidRPr="00775B68" w:rsidRDefault="008339A9" w:rsidP="0022529E">
      <w:pPr>
        <w:spacing w:line="240" w:lineRule="auto"/>
        <w:jc w:val="both"/>
        <w:rPr>
          <w:rFonts w:cstheme="minorHAnsi"/>
          <w:bCs/>
          <w:iCs/>
          <w:color w:val="000000" w:themeColor="text1"/>
          <w:lang w:eastAsia="fr-FR"/>
        </w:rPr>
      </w:pPr>
      <m:oMath>
        <m:sSub>
          <m:sSubPr>
            <m:ctrlPr>
              <w:rPr>
                <w:rFonts w:ascii="Cambria Math" w:hAnsi="Cambria Math" w:cstheme="minorHAnsi"/>
                <w:bCs/>
                <w:iCs/>
                <w:color w:val="000000" w:themeColor="text1"/>
                <w:vertAlign w:val="subscript"/>
                <w:lang w:eastAsia="fr-FR"/>
              </w:rPr>
            </m:ctrlPr>
          </m:sSubPr>
          <m:e>
            <m:r>
              <w:rPr>
                <w:rFonts w:ascii="Cambria Math" w:hAnsi="Cambria Math" w:cstheme="minorHAnsi"/>
                <w:color w:val="000000" w:themeColor="text1"/>
                <w:vertAlign w:val="subscript"/>
                <w:lang w:eastAsia="fr-FR"/>
              </w:rPr>
              <m:t>f</m:t>
            </m:r>
          </m:e>
          <m:sub>
            <m:r>
              <w:rPr>
                <w:rFonts w:ascii="Cambria Math" w:hAnsi="Cambria Math" w:cstheme="minorHAnsi"/>
                <w:color w:val="000000" w:themeColor="text1"/>
                <w:vertAlign w:val="subscript"/>
                <w:lang w:eastAsia="fr-FR"/>
              </w:rPr>
              <m:t>2ih</m:t>
            </m:r>
          </m:sub>
        </m:sSub>
      </m:oMath>
      <w:r w:rsidR="002222A9">
        <w:rPr>
          <w:rFonts w:eastAsiaTheme="minorEastAsia" w:cstheme="minorHAnsi"/>
          <w:bCs/>
          <w:iCs/>
          <w:color w:val="000000" w:themeColor="text1"/>
          <w:vertAlign w:val="subscript"/>
          <w:lang w:eastAsia="fr-FR"/>
        </w:rPr>
        <w:t xml:space="preserve"> </w:t>
      </w:r>
      <w:proofErr w:type="gramStart"/>
      <w:r w:rsidR="002222A9" w:rsidRPr="00775B68">
        <w:rPr>
          <w:rFonts w:cstheme="minorHAnsi"/>
          <w:bCs/>
          <w:iCs/>
          <w:color w:val="000000" w:themeColor="text1"/>
          <w:lang w:eastAsia="fr-FR"/>
        </w:rPr>
        <w:t>est</w:t>
      </w:r>
      <w:proofErr w:type="gramEnd"/>
      <w:r w:rsidR="002222A9" w:rsidRPr="00775B68">
        <w:rPr>
          <w:rFonts w:cstheme="minorHAnsi"/>
          <w:bCs/>
          <w:iCs/>
          <w:color w:val="000000" w:themeColor="text1"/>
          <w:lang w:eastAsia="fr-FR"/>
        </w:rPr>
        <w:t xml:space="preserve"> la probabilité d’inclusion des villages maîtres.</w:t>
      </w:r>
      <w:r w:rsidR="00F97976">
        <w:rPr>
          <w:rFonts w:cstheme="minorHAnsi"/>
          <w:bCs/>
          <w:iCs/>
          <w:color w:val="000000" w:themeColor="text1"/>
          <w:lang w:eastAsia="fr-FR"/>
        </w:rPr>
        <w:t xml:space="preserve"> </w:t>
      </w:r>
      <w:r w:rsidR="002222A9" w:rsidRPr="00775B68">
        <w:rPr>
          <w:rFonts w:cstheme="minorHAnsi"/>
          <w:bCs/>
          <w:iCs/>
          <w:color w:val="000000" w:themeColor="text1"/>
          <w:lang w:eastAsia="fr-FR"/>
        </w:rPr>
        <w:t>Il est</w:t>
      </w:r>
      <w:r w:rsidR="00F97976">
        <w:rPr>
          <w:rFonts w:cstheme="minorHAnsi"/>
          <w:bCs/>
          <w:iCs/>
          <w:color w:val="000000" w:themeColor="text1"/>
          <w:lang w:eastAsia="fr-FR"/>
        </w:rPr>
        <w:t xml:space="preserve"> également à noter que</w:t>
      </w:r>
      <w:r w:rsidR="00342E01">
        <w:rPr>
          <w:rFonts w:cstheme="minorHAnsi"/>
          <w:bCs/>
          <w:iCs/>
          <w:color w:val="000000" w:themeColor="text1"/>
          <w:lang w:eastAsia="fr-FR"/>
        </w:rPr>
        <w:t xml:space="preserve"> si un</w:t>
      </w:r>
      <w:r w:rsidR="002222A9" w:rsidRPr="00775B68">
        <w:rPr>
          <w:rFonts w:cstheme="minorHAnsi"/>
          <w:bCs/>
          <w:iCs/>
          <w:color w:val="000000" w:themeColor="text1"/>
          <w:lang w:eastAsia="fr-FR"/>
        </w:rPr>
        <w:t xml:space="preserve"> village tiré possède moins de 5 ménages, est difficile d’accès ou bien </w:t>
      </w:r>
      <w:r w:rsidR="00342E01">
        <w:rPr>
          <w:rFonts w:cstheme="minorHAnsi"/>
          <w:bCs/>
          <w:iCs/>
          <w:color w:val="000000" w:themeColor="text1"/>
          <w:lang w:eastAsia="fr-FR"/>
        </w:rPr>
        <w:t>n’est pas retrouvé par les enquêteurs, alors il</w:t>
      </w:r>
      <w:r w:rsidR="002222A9" w:rsidRPr="00775B68">
        <w:rPr>
          <w:rFonts w:cstheme="minorHAnsi"/>
          <w:bCs/>
          <w:iCs/>
          <w:color w:val="000000" w:themeColor="text1"/>
          <w:lang w:eastAsia="fr-FR"/>
        </w:rPr>
        <w:t xml:space="preserve"> </w:t>
      </w:r>
      <w:r w:rsidR="003D7954">
        <w:rPr>
          <w:rFonts w:cstheme="minorHAnsi"/>
          <w:bCs/>
          <w:iCs/>
          <w:color w:val="000000" w:themeColor="text1"/>
          <w:lang w:eastAsia="fr-FR"/>
        </w:rPr>
        <w:t>devait être remplacé</w:t>
      </w:r>
      <w:r w:rsidR="00BA1777">
        <w:rPr>
          <w:rFonts w:cstheme="minorHAnsi"/>
          <w:bCs/>
          <w:iCs/>
          <w:color w:val="000000" w:themeColor="text1"/>
          <w:lang w:eastAsia="fr-FR"/>
        </w:rPr>
        <w:t>. Ainsi, d</w:t>
      </w:r>
      <w:r w:rsidR="002222A9" w:rsidRPr="00775B68">
        <w:rPr>
          <w:rFonts w:cstheme="minorHAnsi"/>
          <w:bCs/>
          <w:iCs/>
          <w:color w:val="000000" w:themeColor="text1"/>
          <w:lang w:eastAsia="fr-FR"/>
        </w:rPr>
        <w:t xml:space="preserve">es villages de remplacement ont été </w:t>
      </w:r>
      <w:r w:rsidR="00BA1777">
        <w:rPr>
          <w:rFonts w:cstheme="minorHAnsi"/>
          <w:bCs/>
          <w:iCs/>
          <w:color w:val="000000" w:themeColor="text1"/>
          <w:lang w:eastAsia="fr-FR"/>
        </w:rPr>
        <w:t xml:space="preserve">tirés et </w:t>
      </w:r>
      <w:r w:rsidR="002222A9" w:rsidRPr="00775B68">
        <w:rPr>
          <w:rFonts w:cstheme="minorHAnsi"/>
          <w:bCs/>
          <w:iCs/>
          <w:color w:val="000000" w:themeColor="text1"/>
          <w:lang w:eastAsia="fr-FR"/>
        </w:rPr>
        <w:t xml:space="preserve">ordonnés puisqu’il fallait en </w:t>
      </w:r>
      <w:r w:rsidR="00BA1777">
        <w:rPr>
          <w:rFonts w:cstheme="minorHAnsi"/>
          <w:bCs/>
          <w:iCs/>
          <w:color w:val="000000" w:themeColor="text1"/>
          <w:lang w:eastAsia="fr-FR"/>
        </w:rPr>
        <w:t xml:space="preserve">sélectionner </w:t>
      </w:r>
      <w:r w:rsidR="002222A9" w:rsidRPr="00775B68">
        <w:rPr>
          <w:rFonts w:cstheme="minorHAnsi"/>
          <w:bCs/>
          <w:iCs/>
          <w:color w:val="000000" w:themeColor="text1"/>
          <w:lang w:eastAsia="fr-FR"/>
        </w:rPr>
        <w:t xml:space="preserve">progressivement au cas où un village </w:t>
      </w:r>
      <w:r w:rsidR="00BA1777">
        <w:rPr>
          <w:rFonts w:cstheme="minorHAnsi"/>
          <w:bCs/>
          <w:iCs/>
          <w:color w:val="000000" w:themeColor="text1"/>
          <w:lang w:eastAsia="fr-FR"/>
        </w:rPr>
        <w:t>devait être remplacé dans une commune.</w:t>
      </w:r>
      <w:r w:rsidR="00616224">
        <w:rPr>
          <w:rFonts w:cstheme="minorHAnsi"/>
          <w:bCs/>
          <w:iCs/>
          <w:color w:val="000000" w:themeColor="text1"/>
          <w:lang w:eastAsia="fr-FR"/>
        </w:rPr>
        <w:t xml:space="preserve"> </w:t>
      </w:r>
      <w:r w:rsidR="002222A9" w:rsidRPr="00775B68">
        <w:rPr>
          <w:rFonts w:cstheme="minorHAnsi"/>
          <w:bCs/>
          <w:iCs/>
          <w:color w:val="000000" w:themeColor="text1"/>
          <w:lang w:eastAsia="fr-FR"/>
        </w:rPr>
        <w:t>La probabilité d’inclusion de ces villages de remplacement est donnée par :</w:t>
      </w:r>
    </w:p>
    <w:p w14:paraId="6EB81E89" w14:textId="77777777" w:rsidR="002222A9" w:rsidRPr="00616224" w:rsidRDefault="008339A9" w:rsidP="002222A9">
      <w:pPr>
        <w:spacing w:line="240" w:lineRule="auto"/>
        <w:rPr>
          <w:rFonts w:cstheme="minorHAnsi"/>
        </w:rPr>
      </w:pPr>
      <m:oMathPara>
        <m:oMathParaPr>
          <m:jc m:val="center"/>
        </m:oMathParaPr>
        <m:oMath>
          <m:sSub>
            <m:sSubPr>
              <m:ctrlPr>
                <w:rPr>
                  <w:rFonts w:ascii="Cambria Math" w:hAnsi="Cambria Math" w:cstheme="minorHAnsi"/>
                  <w:bCs/>
                  <w:iCs/>
                  <w:color w:val="000000" w:themeColor="text1"/>
                  <w:vertAlign w:val="subscript"/>
                  <w:lang w:eastAsia="fr-FR"/>
                </w:rPr>
              </m:ctrlPr>
            </m:sSubPr>
            <m:e>
              <m:r>
                <w:rPr>
                  <w:rFonts w:ascii="Cambria Math" w:hAnsi="Cambria Math" w:cstheme="minorHAnsi"/>
                  <w:color w:val="000000" w:themeColor="text1"/>
                  <w:vertAlign w:val="subscript"/>
                  <w:lang w:eastAsia="fr-FR"/>
                </w:rPr>
                <m:t>f</m:t>
              </m:r>
            </m:e>
            <m:sub>
              <m:r>
                <w:rPr>
                  <w:rFonts w:ascii="Cambria Math" w:hAnsi="Cambria Math" w:cstheme="minorHAnsi"/>
                  <w:color w:val="000000" w:themeColor="text1"/>
                  <w:vertAlign w:val="subscript"/>
                  <w:lang w:eastAsia="fr-FR"/>
                </w:rPr>
                <m:t>2ih</m:t>
              </m:r>
            </m:sub>
          </m:sSub>
          <m:r>
            <m:rPr>
              <m:sty m:val="p"/>
            </m:rPr>
            <w:rPr>
              <w:rFonts w:ascii="Cambria Math" w:hAnsi="Cambria Math" w:cstheme="minorHAnsi"/>
              <w:color w:val="000000" w:themeColor="text1"/>
              <w:vertAlign w:val="subscript"/>
              <w:lang w:eastAsia="fr-FR"/>
            </w:rPr>
            <m:t xml:space="preserve"> </m:t>
          </m:r>
          <m:r>
            <m:rPr>
              <m:sty m:val="p"/>
            </m:rPr>
            <w:rPr>
              <w:rFonts w:ascii="Cambria Math" w:hAnsi="Cambria Math" w:cstheme="minorHAnsi"/>
              <w:lang w:eastAsia="fr-FR"/>
            </w:rPr>
            <m:t>=</m:t>
          </m:r>
          <m:sSub>
            <m:sSubPr>
              <m:ctrlPr>
                <w:rPr>
                  <w:rFonts w:ascii="Cambria Math" w:hAnsi="Cambria Math" w:cstheme="minorHAnsi"/>
                  <w:i/>
                  <w:lang w:eastAsia="fr-FR"/>
                </w:rPr>
              </m:ctrlPr>
            </m:sSubPr>
            <m:e>
              <m:r>
                <w:rPr>
                  <w:rFonts w:ascii="Cambria Math" w:hAnsi="Cambria Math" w:cstheme="minorHAnsi"/>
                  <w:lang w:eastAsia="fr-FR"/>
                </w:rPr>
                <m:t>g</m:t>
              </m:r>
            </m:e>
            <m:sub>
              <m:r>
                <w:rPr>
                  <w:rFonts w:ascii="Cambria Math" w:hAnsi="Cambria Math" w:cstheme="minorHAnsi"/>
                  <w:lang w:eastAsia="fr-FR"/>
                </w:rPr>
                <m:t>ih</m:t>
              </m:r>
            </m:sub>
          </m:sSub>
          <m:r>
            <w:rPr>
              <w:rFonts w:ascii="Cambria Math" w:hAnsi="Cambria Math" w:cstheme="minorHAnsi"/>
              <w:lang w:eastAsia="fr-FR"/>
            </w:rPr>
            <m:t>*</m:t>
          </m:r>
          <m:f>
            <m:fPr>
              <m:ctrlPr>
                <w:rPr>
                  <w:rFonts w:ascii="Cambria Math" w:hAnsi="Cambria Math" w:cstheme="minorHAnsi"/>
                  <w:lang w:eastAsia="fr-FR"/>
                </w:rPr>
              </m:ctrlPr>
            </m:fPr>
            <m:num>
              <m:sSub>
                <m:sSubPr>
                  <m:ctrlPr>
                    <w:rPr>
                      <w:rFonts w:ascii="Cambria Math" w:hAnsi="Cambria Math" w:cstheme="minorHAnsi"/>
                      <w:i/>
                      <w:lang w:eastAsia="fr-FR"/>
                    </w:rPr>
                  </m:ctrlPr>
                </m:sSubPr>
                <m:e>
                  <m:r>
                    <w:rPr>
                      <w:rFonts w:ascii="Cambria Math" w:hAnsi="Cambria Math" w:cstheme="minorHAnsi"/>
                      <w:lang w:eastAsia="fr-FR"/>
                    </w:rPr>
                    <m:t>m</m:t>
                  </m:r>
                </m:e>
                <m:sub>
                  <m:r>
                    <w:rPr>
                      <w:rFonts w:ascii="Cambria Math" w:hAnsi="Cambria Math" w:cstheme="minorHAnsi"/>
                      <w:lang w:eastAsia="fr-FR"/>
                    </w:rPr>
                    <m:t>ih</m:t>
                  </m:r>
                </m:sub>
              </m:sSub>
            </m:num>
            <m:den>
              <m:sSub>
                <m:sSubPr>
                  <m:ctrlPr>
                    <w:rPr>
                      <w:rFonts w:ascii="Cambria Math" w:hAnsi="Cambria Math" w:cstheme="minorHAnsi"/>
                      <w:i/>
                      <w:lang w:eastAsia="fr-FR"/>
                    </w:rPr>
                  </m:ctrlPr>
                </m:sSubPr>
                <m:e>
                  <m:r>
                    <w:rPr>
                      <w:rFonts w:ascii="Cambria Math" w:hAnsi="Cambria Math" w:cstheme="minorHAnsi"/>
                      <w:lang w:eastAsia="fr-FR"/>
                    </w:rPr>
                    <m:t>M</m:t>
                  </m:r>
                </m:e>
                <m:sub>
                  <m:r>
                    <w:rPr>
                      <w:rFonts w:ascii="Cambria Math" w:hAnsi="Cambria Math" w:cstheme="minorHAnsi"/>
                      <w:lang w:eastAsia="fr-FR"/>
                    </w:rPr>
                    <m:t>ih</m:t>
                  </m:r>
                </m:sub>
              </m:sSub>
              <m:r>
                <w:rPr>
                  <w:rFonts w:ascii="Cambria Math" w:hAnsi="Cambria Math" w:cstheme="minorHAnsi"/>
                  <w:lang w:eastAsia="fr-FR"/>
                </w:rPr>
                <m:t>-4</m:t>
              </m:r>
            </m:den>
          </m:f>
        </m:oMath>
      </m:oMathPara>
    </w:p>
    <w:p w14:paraId="28785BB1" w14:textId="77777777" w:rsidR="002222A9" w:rsidRPr="00775B68" w:rsidRDefault="002222A9" w:rsidP="0022529E">
      <w:pPr>
        <w:spacing w:line="240" w:lineRule="auto"/>
        <w:jc w:val="both"/>
        <w:rPr>
          <w:rFonts w:cstheme="minorHAnsi"/>
        </w:rPr>
      </w:pPr>
      <w:r w:rsidRPr="00775B68">
        <w:rPr>
          <w:rFonts w:cstheme="minorHAnsi"/>
        </w:rPr>
        <w:t xml:space="preserve">Où : </w:t>
      </w:r>
      <m:oMath>
        <m:sSub>
          <m:sSubPr>
            <m:ctrlPr>
              <w:rPr>
                <w:rFonts w:ascii="Cambria Math" w:hAnsi="Cambria Math" w:cstheme="minorHAnsi"/>
                <w:i/>
                <w:lang w:eastAsia="fr-FR"/>
              </w:rPr>
            </m:ctrlPr>
          </m:sSubPr>
          <m:e>
            <m:r>
              <w:rPr>
                <w:rFonts w:ascii="Cambria Math" w:hAnsi="Cambria Math" w:cstheme="minorHAnsi"/>
                <w:lang w:eastAsia="fr-FR"/>
              </w:rPr>
              <m:t>g</m:t>
            </m:r>
          </m:e>
          <m:sub>
            <m:r>
              <w:rPr>
                <w:rFonts w:ascii="Cambria Math" w:hAnsi="Cambria Math" w:cstheme="minorHAnsi"/>
                <w:lang w:eastAsia="fr-FR"/>
              </w:rPr>
              <m:t>ih</m:t>
            </m:r>
          </m:sub>
        </m:sSub>
      </m:oMath>
      <w:r w:rsidRPr="00775B68">
        <w:rPr>
          <w:rFonts w:cstheme="minorHAnsi"/>
        </w:rPr>
        <w:t xml:space="preserve"> </w:t>
      </w:r>
      <w:r w:rsidRPr="00775B68">
        <w:rPr>
          <w:rFonts w:cstheme="minorHAnsi"/>
          <w:bCs/>
          <w:iCs/>
          <w:color w:val="000000" w:themeColor="text1"/>
          <w:lang w:eastAsia="fr-FR"/>
        </w:rPr>
        <w:t xml:space="preserve">correspond à la probabilité d’inclusion du village de remplacement dans son groupe (4 villages). </w:t>
      </w:r>
    </w:p>
    <w:p w14:paraId="30F09CBD" w14:textId="3D028717" w:rsidR="002222A9" w:rsidRPr="00616224" w:rsidRDefault="00616224" w:rsidP="0056146E">
      <w:pPr>
        <w:pStyle w:val="Paragraphedeliste"/>
        <w:numPr>
          <w:ilvl w:val="0"/>
          <w:numId w:val="5"/>
        </w:numPr>
        <w:jc w:val="both"/>
        <w:rPr>
          <w:b/>
          <w:i/>
        </w:rPr>
      </w:pPr>
      <w:r w:rsidRPr="00616224">
        <w:rPr>
          <w:b/>
          <w:i/>
        </w:rPr>
        <w:t>Troisième degré du tirage</w:t>
      </w:r>
    </w:p>
    <w:p w14:paraId="32DB142B" w14:textId="5E63E41A" w:rsidR="009D14A4" w:rsidRPr="00775B68" w:rsidRDefault="005F1702" w:rsidP="0022529E">
      <w:pPr>
        <w:spacing w:after="0"/>
        <w:jc w:val="both"/>
        <w:rPr>
          <w:rFonts w:cstheme="minorHAnsi"/>
          <w:bCs/>
          <w:iCs/>
          <w:color w:val="000000" w:themeColor="text1"/>
          <w:lang w:eastAsia="fr-FR"/>
        </w:rPr>
      </w:pPr>
      <w:r>
        <w:t xml:space="preserve">Au Troisième degré, la liste des ménages de chaque village tiré permet aux agents de sélectionner un échantillon systématique de ménages. </w:t>
      </w:r>
      <w:r w:rsidR="009D14A4" w:rsidRPr="00775B68">
        <w:rPr>
          <w:rFonts w:cstheme="minorHAnsi"/>
          <w:bCs/>
          <w:iCs/>
          <w:color w:val="000000" w:themeColor="text1"/>
          <w:lang w:eastAsia="fr-FR"/>
        </w:rPr>
        <w:t>Il consiste à tirer 5 ménage dans chaque village échantillon. Avant de procéder au tirage, une liste des ménages du village est nécessaire pour permettre de faire un choix aléatoire des ménages échantillons.</w:t>
      </w:r>
      <w:r w:rsidR="009D14A4">
        <w:rPr>
          <w:rFonts w:cstheme="minorHAnsi"/>
          <w:bCs/>
          <w:iCs/>
          <w:color w:val="000000" w:themeColor="text1"/>
          <w:lang w:eastAsia="fr-FR"/>
        </w:rPr>
        <w:t xml:space="preserve"> </w:t>
      </w:r>
      <w:r w:rsidR="009D14A4">
        <w:t>Les chefs de ménage sélectionnés sont ensuite interviewés pour l’enquête.</w:t>
      </w:r>
    </w:p>
    <w:p w14:paraId="19A18DF7" w14:textId="77777777" w:rsidR="009D14A4" w:rsidRPr="00775B68" w:rsidRDefault="009D14A4" w:rsidP="0022529E">
      <w:pPr>
        <w:spacing w:after="0"/>
        <w:jc w:val="both"/>
        <w:rPr>
          <w:rFonts w:cstheme="minorHAnsi"/>
          <w:bCs/>
          <w:iCs/>
          <w:color w:val="000000" w:themeColor="text1"/>
          <w:lang w:eastAsia="fr-FR"/>
        </w:rPr>
      </w:pPr>
      <w:r w:rsidRPr="00775B68">
        <w:rPr>
          <w:rFonts w:cstheme="minorHAnsi"/>
          <w:bCs/>
          <w:iCs/>
          <w:color w:val="000000" w:themeColor="text1"/>
          <w:lang w:eastAsia="fr-FR"/>
        </w:rPr>
        <w:t>Les notations à adopter pour ce degré de tirage sont les suivant :</w:t>
      </w:r>
    </w:p>
    <w:p w14:paraId="65CFF620" w14:textId="77777777" w:rsidR="009D14A4" w:rsidRPr="00775B68" w:rsidRDefault="009D14A4" w:rsidP="0022529E">
      <w:pPr>
        <w:spacing w:after="0"/>
        <w:jc w:val="both"/>
        <w:rPr>
          <w:rFonts w:cstheme="minorHAnsi"/>
          <w:bCs/>
          <w:iCs/>
          <w:color w:val="000000" w:themeColor="text1"/>
          <w:lang w:eastAsia="fr-FR"/>
        </w:rPr>
      </w:pPr>
      <w:proofErr w:type="spellStart"/>
      <w:r w:rsidRPr="00775B68">
        <w:rPr>
          <w:rFonts w:cstheme="minorHAnsi"/>
          <w:bCs/>
          <w:iCs/>
          <w:color w:val="000000" w:themeColor="text1"/>
          <w:vertAlign w:val="subscript"/>
          <w:lang w:eastAsia="fr-FR"/>
        </w:rPr>
        <w:t>Xjih</w:t>
      </w:r>
      <w:proofErr w:type="spellEnd"/>
      <w:r w:rsidRPr="00775B68">
        <w:rPr>
          <w:rFonts w:cstheme="minorHAnsi"/>
          <w:bCs/>
          <w:iCs/>
          <w:color w:val="000000" w:themeColor="text1"/>
          <w:lang w:eastAsia="fr-FR"/>
        </w:rPr>
        <w:t> : Le nombre de ménages pratiquant l’élevage dans le village j de la commune i de la strate h ;</w:t>
      </w:r>
    </w:p>
    <w:p w14:paraId="762208B5" w14:textId="77777777" w:rsidR="009D14A4" w:rsidRPr="00775B68" w:rsidRDefault="009D14A4" w:rsidP="0022529E">
      <w:pPr>
        <w:spacing w:after="0"/>
        <w:jc w:val="both"/>
        <w:rPr>
          <w:rFonts w:cstheme="minorHAnsi"/>
          <w:bCs/>
          <w:iCs/>
          <w:color w:val="000000" w:themeColor="text1"/>
          <w:lang w:eastAsia="fr-FR"/>
        </w:rPr>
      </w:pPr>
      <w:proofErr w:type="spellStart"/>
      <w:proofErr w:type="gramStart"/>
      <w:r w:rsidRPr="00775B68">
        <w:rPr>
          <w:rFonts w:cstheme="minorHAnsi"/>
          <w:bCs/>
          <w:iCs/>
          <w:color w:val="000000" w:themeColor="text1"/>
          <w:lang w:eastAsia="fr-FR"/>
        </w:rPr>
        <w:lastRenderedPageBreak/>
        <w:t>x</w:t>
      </w:r>
      <w:r w:rsidRPr="00775B68">
        <w:rPr>
          <w:rFonts w:cstheme="minorHAnsi"/>
          <w:bCs/>
          <w:iCs/>
          <w:color w:val="000000" w:themeColor="text1"/>
          <w:vertAlign w:val="subscript"/>
          <w:lang w:eastAsia="fr-FR"/>
        </w:rPr>
        <w:t>jih</w:t>
      </w:r>
      <w:proofErr w:type="spellEnd"/>
      <w:proofErr w:type="gramEnd"/>
      <w:r w:rsidRPr="00775B68">
        <w:rPr>
          <w:rFonts w:cstheme="minorHAnsi"/>
          <w:bCs/>
          <w:iCs/>
          <w:color w:val="000000" w:themeColor="text1"/>
          <w:vertAlign w:val="subscript"/>
          <w:lang w:eastAsia="fr-FR"/>
        </w:rPr>
        <w:t> </w:t>
      </w:r>
      <w:r w:rsidRPr="00775B68">
        <w:rPr>
          <w:rFonts w:cstheme="minorHAnsi"/>
          <w:bCs/>
          <w:iCs/>
          <w:color w:val="000000" w:themeColor="text1"/>
          <w:lang w:eastAsia="fr-FR"/>
        </w:rPr>
        <w:t>: La taille de l’échantillon de ménage tiré dans le village échantillon j de la commune échantillon i de la strate h.</w:t>
      </w:r>
    </w:p>
    <w:p w14:paraId="12B4F4DA" w14:textId="77777777" w:rsidR="009D14A4" w:rsidRPr="00775B68" w:rsidRDefault="009D14A4" w:rsidP="0022529E">
      <w:pPr>
        <w:spacing w:after="0"/>
        <w:jc w:val="both"/>
        <w:rPr>
          <w:rFonts w:cstheme="minorHAnsi"/>
          <w:bCs/>
          <w:iCs/>
          <w:color w:val="000000" w:themeColor="text1"/>
          <w:lang w:eastAsia="fr-FR"/>
        </w:rPr>
      </w:pPr>
      <w:r w:rsidRPr="00775B68">
        <w:rPr>
          <w:rFonts w:cstheme="minorHAnsi"/>
          <w:bCs/>
          <w:iCs/>
          <w:color w:val="000000" w:themeColor="text1"/>
          <w:lang w:eastAsia="fr-FR"/>
        </w:rPr>
        <w:t>La probabilité d’inclusion du ménage échantillon k du village échantillon j de la commune échantillon i de la strate h est :</w:t>
      </w:r>
    </w:p>
    <w:p w14:paraId="432214A7" w14:textId="0451682B" w:rsidR="009D14A4" w:rsidRPr="009D14A4" w:rsidRDefault="008339A9" w:rsidP="009D14A4">
      <w:pPr>
        <w:spacing w:after="0"/>
        <w:jc w:val="center"/>
        <w:rPr>
          <w:rFonts w:eastAsiaTheme="minorEastAsia" w:cstheme="minorHAnsi"/>
          <w:lang w:eastAsia="fr-FR"/>
        </w:rPr>
      </w:pPr>
      <m:oMathPara>
        <m:oMathParaPr>
          <m:jc m:val="center"/>
        </m:oMathParaPr>
        <m:oMath>
          <m:sSub>
            <m:sSubPr>
              <m:ctrlPr>
                <w:rPr>
                  <w:rFonts w:ascii="Cambria Math" w:hAnsi="Cambria Math" w:cstheme="minorHAnsi"/>
                  <w:bCs/>
                  <w:iCs/>
                  <w:color w:val="000000" w:themeColor="text1"/>
                  <w:vertAlign w:val="subscript"/>
                  <w:lang w:eastAsia="fr-FR"/>
                </w:rPr>
              </m:ctrlPr>
            </m:sSubPr>
            <m:e>
              <m:r>
                <w:rPr>
                  <w:rFonts w:ascii="Cambria Math" w:hAnsi="Cambria Math" w:cstheme="minorHAnsi"/>
                  <w:color w:val="000000" w:themeColor="text1"/>
                  <w:vertAlign w:val="subscript"/>
                  <w:lang w:eastAsia="fr-FR"/>
                </w:rPr>
                <m:t>f</m:t>
              </m:r>
            </m:e>
            <m:sub>
              <m:r>
                <w:rPr>
                  <w:rFonts w:ascii="Cambria Math" w:hAnsi="Cambria Math" w:cstheme="minorHAnsi"/>
                  <w:color w:val="000000" w:themeColor="text1"/>
                  <w:vertAlign w:val="subscript"/>
                  <w:lang w:eastAsia="fr-FR"/>
                </w:rPr>
                <m:t>3jih</m:t>
              </m:r>
            </m:sub>
          </m:sSub>
          <m:r>
            <m:rPr>
              <m:sty m:val="p"/>
            </m:rPr>
            <w:rPr>
              <w:rFonts w:ascii="Cambria Math" w:hAnsi="Cambria Math" w:cstheme="minorHAnsi"/>
              <w:color w:val="000000" w:themeColor="text1"/>
              <w:vertAlign w:val="subscript"/>
              <w:lang w:eastAsia="fr-FR"/>
            </w:rPr>
            <m:t xml:space="preserve"> </m:t>
          </m:r>
          <m:r>
            <m:rPr>
              <m:sty m:val="p"/>
            </m:rPr>
            <w:rPr>
              <w:rFonts w:ascii="Cambria Math" w:hAnsi="Cambria Math" w:cstheme="minorHAnsi"/>
              <w:lang w:eastAsia="fr-FR"/>
            </w:rPr>
            <m:t>=</m:t>
          </m:r>
          <m:f>
            <m:fPr>
              <m:ctrlPr>
                <w:rPr>
                  <w:rFonts w:ascii="Cambria Math" w:hAnsi="Cambria Math" w:cstheme="minorHAnsi"/>
                  <w:lang w:eastAsia="fr-FR"/>
                </w:rPr>
              </m:ctrlPr>
            </m:fPr>
            <m:num>
              <m:sSub>
                <m:sSubPr>
                  <m:ctrlPr>
                    <w:rPr>
                      <w:rFonts w:ascii="Cambria Math" w:hAnsi="Cambria Math" w:cstheme="minorHAnsi"/>
                      <w:i/>
                      <w:lang w:eastAsia="fr-FR"/>
                    </w:rPr>
                  </m:ctrlPr>
                </m:sSubPr>
                <m:e>
                  <m:r>
                    <w:rPr>
                      <w:rFonts w:ascii="Cambria Math" w:hAnsi="Cambria Math" w:cstheme="minorHAnsi"/>
                      <w:lang w:eastAsia="fr-FR"/>
                    </w:rPr>
                    <m:t>x</m:t>
                  </m:r>
                </m:e>
                <m:sub>
                  <m:r>
                    <w:rPr>
                      <w:rFonts w:ascii="Cambria Math" w:hAnsi="Cambria Math" w:cstheme="minorHAnsi"/>
                      <w:lang w:eastAsia="fr-FR"/>
                    </w:rPr>
                    <m:t>jih</m:t>
                  </m:r>
                </m:sub>
              </m:sSub>
            </m:num>
            <m:den>
              <m:sSub>
                <m:sSubPr>
                  <m:ctrlPr>
                    <w:rPr>
                      <w:rFonts w:ascii="Cambria Math" w:hAnsi="Cambria Math" w:cstheme="minorHAnsi"/>
                      <w:i/>
                      <w:lang w:eastAsia="fr-FR"/>
                    </w:rPr>
                  </m:ctrlPr>
                </m:sSubPr>
                <m:e>
                  <m:r>
                    <w:rPr>
                      <w:rFonts w:ascii="Cambria Math" w:hAnsi="Cambria Math" w:cstheme="minorHAnsi"/>
                      <w:lang w:eastAsia="fr-FR"/>
                    </w:rPr>
                    <m:t>X</m:t>
                  </m:r>
                </m:e>
                <m:sub>
                  <m:r>
                    <w:rPr>
                      <w:rFonts w:ascii="Cambria Math" w:hAnsi="Cambria Math" w:cstheme="minorHAnsi"/>
                      <w:lang w:eastAsia="fr-FR"/>
                    </w:rPr>
                    <m:t>jih</m:t>
                  </m:r>
                </m:sub>
              </m:sSub>
            </m:den>
          </m:f>
        </m:oMath>
      </m:oMathPara>
    </w:p>
    <w:p w14:paraId="0D7F331F" w14:textId="2F9D7797" w:rsidR="009D14A4" w:rsidRPr="00775B68" w:rsidRDefault="009D14A4" w:rsidP="0022529E">
      <w:pPr>
        <w:spacing w:after="0"/>
        <w:jc w:val="both"/>
        <w:rPr>
          <w:rFonts w:cstheme="minorHAnsi"/>
          <w:bCs/>
          <w:iCs/>
          <w:color w:val="000000" w:themeColor="text1"/>
          <w:lang w:eastAsia="fr-FR"/>
        </w:rPr>
      </w:pPr>
      <w:r w:rsidRPr="00775B68">
        <w:rPr>
          <w:rFonts w:cstheme="minorHAnsi"/>
          <w:bCs/>
          <w:iCs/>
          <w:color w:val="000000" w:themeColor="text1"/>
          <w:lang w:eastAsia="fr-FR"/>
        </w:rPr>
        <w:t xml:space="preserve">En somme, la probabilité globale d’inclusion d’un ménage de la strate h, </w:t>
      </w:r>
      <w:r>
        <w:rPr>
          <w:rFonts w:cstheme="minorHAnsi"/>
          <w:bCs/>
          <w:iCs/>
          <w:color w:val="000000" w:themeColor="text1"/>
          <w:lang w:eastAsia="fr-FR"/>
        </w:rPr>
        <w:t>de la commune i et du village j</w:t>
      </w:r>
      <w:r w:rsidRPr="00775B68">
        <w:rPr>
          <w:rFonts w:cstheme="minorHAnsi"/>
          <w:bCs/>
          <w:iCs/>
          <w:color w:val="000000" w:themeColor="text1"/>
          <w:lang w:eastAsia="fr-FR"/>
        </w:rPr>
        <w:t xml:space="preserve"> est :</w:t>
      </w:r>
    </w:p>
    <w:p w14:paraId="63D8E7AE" w14:textId="77777777" w:rsidR="009D14A4" w:rsidRPr="00775B68" w:rsidRDefault="009D14A4" w:rsidP="009D14A4">
      <w:pPr>
        <w:spacing w:after="0"/>
        <w:rPr>
          <w:rFonts w:cstheme="minorHAnsi"/>
          <w:bCs/>
          <w:iCs/>
          <w:color w:val="000000" w:themeColor="text1"/>
          <w:lang w:eastAsia="fr-FR"/>
        </w:rPr>
      </w:pPr>
      <w:r w:rsidRPr="00775B68">
        <w:rPr>
          <w:rFonts w:eastAsiaTheme="minorEastAsia" w:cstheme="minorHAnsi"/>
          <w:bCs/>
          <w:iCs/>
          <w:color w:val="000000" w:themeColor="text1"/>
          <w:vertAlign w:val="subscript"/>
          <w:lang w:eastAsia="fr-FR"/>
        </w:rPr>
        <w:t xml:space="preserve">                           </w:t>
      </w:r>
      <m:oMath>
        <m:sSub>
          <m:sSubPr>
            <m:ctrlPr>
              <w:rPr>
                <w:rFonts w:ascii="Cambria Math" w:hAnsi="Cambria Math" w:cstheme="minorHAnsi"/>
                <w:bCs/>
                <w:iCs/>
                <w:color w:val="000000" w:themeColor="text1"/>
                <w:vertAlign w:val="subscript"/>
                <w:lang w:eastAsia="fr-FR"/>
              </w:rPr>
            </m:ctrlPr>
          </m:sSubPr>
          <m:e>
            <m:r>
              <w:rPr>
                <w:rFonts w:ascii="Cambria Math" w:hAnsi="Cambria Math" w:cstheme="minorHAnsi"/>
                <w:color w:val="000000" w:themeColor="text1"/>
                <w:vertAlign w:val="subscript"/>
                <w:lang w:eastAsia="fr-FR"/>
              </w:rPr>
              <m:t>f</m:t>
            </m:r>
          </m:e>
          <m:sub>
            <m:r>
              <w:rPr>
                <w:rFonts w:ascii="Cambria Math" w:hAnsi="Cambria Math" w:cstheme="minorHAnsi"/>
                <w:color w:val="000000" w:themeColor="text1"/>
                <w:vertAlign w:val="subscript"/>
                <w:lang w:eastAsia="fr-FR"/>
              </w:rPr>
              <m:t>hij</m:t>
            </m:r>
          </m:sub>
        </m:sSub>
        <m:r>
          <w:rPr>
            <w:rFonts w:ascii="Cambria Math" w:hAnsi="Cambria Math" w:cstheme="minorHAnsi"/>
            <w:color w:val="000000" w:themeColor="text1"/>
            <w:vertAlign w:val="subscript"/>
            <w:lang w:eastAsia="fr-FR"/>
          </w:rPr>
          <m:t>=</m:t>
        </m:r>
        <m:sSub>
          <m:sSubPr>
            <m:ctrlPr>
              <w:rPr>
                <w:rFonts w:ascii="Cambria Math" w:hAnsi="Cambria Math" w:cstheme="minorHAnsi"/>
                <w:bCs/>
                <w:iCs/>
                <w:color w:val="000000" w:themeColor="text1"/>
                <w:vertAlign w:val="subscript"/>
                <w:lang w:eastAsia="fr-FR"/>
              </w:rPr>
            </m:ctrlPr>
          </m:sSubPr>
          <m:e>
            <m:r>
              <w:rPr>
                <w:rFonts w:ascii="Cambria Math" w:hAnsi="Cambria Math" w:cstheme="minorHAnsi"/>
                <w:color w:val="000000" w:themeColor="text1"/>
                <w:vertAlign w:val="subscript"/>
                <w:lang w:eastAsia="fr-FR"/>
              </w:rPr>
              <m:t>f</m:t>
            </m:r>
          </m:e>
          <m:sub>
            <m:r>
              <w:rPr>
                <w:rFonts w:ascii="Cambria Math" w:hAnsi="Cambria Math" w:cstheme="minorHAnsi"/>
                <w:color w:val="000000" w:themeColor="text1"/>
                <w:vertAlign w:val="subscript"/>
                <w:lang w:eastAsia="fr-FR"/>
              </w:rPr>
              <m:t>1</m:t>
            </m:r>
            <m:r>
              <w:rPr>
                <w:rFonts w:ascii="Cambria Math" w:hAnsi="Cambria Math" w:cstheme="minorHAnsi"/>
                <w:color w:val="000000" w:themeColor="text1"/>
                <w:vertAlign w:val="subscript"/>
                <w:lang w:eastAsia="fr-FR"/>
              </w:rPr>
              <m:t>h</m:t>
            </m:r>
          </m:sub>
        </m:sSub>
        <m:sSub>
          <m:sSubPr>
            <m:ctrlPr>
              <w:rPr>
                <w:rFonts w:ascii="Cambria Math" w:hAnsi="Cambria Math" w:cstheme="minorHAnsi"/>
                <w:bCs/>
                <w:iCs/>
                <w:color w:val="000000" w:themeColor="text1"/>
                <w:vertAlign w:val="subscript"/>
                <w:lang w:eastAsia="fr-FR"/>
              </w:rPr>
            </m:ctrlPr>
          </m:sSubPr>
          <m:e>
            <m:r>
              <w:rPr>
                <w:rFonts w:ascii="Cambria Math" w:hAnsi="Cambria Math" w:cstheme="minorHAnsi"/>
                <w:color w:val="000000" w:themeColor="text1"/>
                <w:vertAlign w:val="subscript"/>
                <w:lang w:eastAsia="fr-FR"/>
              </w:rPr>
              <m:t>f</m:t>
            </m:r>
          </m:e>
          <m:sub>
            <m:r>
              <w:rPr>
                <w:rFonts w:ascii="Cambria Math" w:hAnsi="Cambria Math" w:cstheme="minorHAnsi"/>
                <w:color w:val="000000" w:themeColor="text1"/>
                <w:vertAlign w:val="subscript"/>
                <w:lang w:eastAsia="fr-FR"/>
              </w:rPr>
              <m:t>2ih</m:t>
            </m:r>
          </m:sub>
        </m:sSub>
        <m:sSub>
          <m:sSubPr>
            <m:ctrlPr>
              <w:rPr>
                <w:rFonts w:ascii="Cambria Math" w:hAnsi="Cambria Math" w:cstheme="minorHAnsi"/>
                <w:bCs/>
                <w:iCs/>
                <w:color w:val="000000" w:themeColor="text1"/>
                <w:vertAlign w:val="subscript"/>
                <w:lang w:eastAsia="fr-FR"/>
              </w:rPr>
            </m:ctrlPr>
          </m:sSubPr>
          <m:e>
            <m:r>
              <w:rPr>
                <w:rFonts w:ascii="Cambria Math" w:hAnsi="Cambria Math" w:cstheme="minorHAnsi"/>
                <w:color w:val="000000" w:themeColor="text1"/>
                <w:vertAlign w:val="subscript"/>
                <w:lang w:eastAsia="fr-FR"/>
              </w:rPr>
              <m:t>f</m:t>
            </m:r>
          </m:e>
          <m:sub>
            <m:r>
              <w:rPr>
                <w:rFonts w:ascii="Cambria Math" w:hAnsi="Cambria Math" w:cstheme="minorHAnsi"/>
                <w:color w:val="000000" w:themeColor="text1"/>
                <w:vertAlign w:val="subscript"/>
                <w:lang w:eastAsia="fr-FR"/>
              </w:rPr>
              <m:t>3jih</m:t>
            </m:r>
          </m:sub>
        </m:sSub>
        <m:r>
          <w:rPr>
            <w:rFonts w:ascii="Cambria Math" w:hAnsi="Cambria Math" w:cstheme="minorHAnsi"/>
            <w:color w:val="000000" w:themeColor="text1"/>
            <w:vertAlign w:val="subscript"/>
            <w:lang w:eastAsia="fr-FR"/>
          </w:rPr>
          <m:t xml:space="preserve"> </m:t>
        </m:r>
      </m:oMath>
    </w:p>
    <w:p w14:paraId="133CD9A0" w14:textId="77777777" w:rsidR="009D14A4" w:rsidRPr="00775B68" w:rsidRDefault="009D14A4" w:rsidP="0022529E">
      <w:pPr>
        <w:spacing w:after="0"/>
        <w:jc w:val="both"/>
        <w:rPr>
          <w:rFonts w:cstheme="minorHAnsi"/>
          <w:bCs/>
          <w:iCs/>
          <w:color w:val="000000" w:themeColor="text1"/>
          <w:lang w:eastAsia="fr-FR"/>
        </w:rPr>
      </w:pPr>
      <w:r w:rsidRPr="00775B68">
        <w:rPr>
          <w:rFonts w:cstheme="minorHAnsi"/>
          <w:bCs/>
          <w:iCs/>
          <w:color w:val="000000" w:themeColor="text1"/>
          <w:lang w:eastAsia="fr-FR"/>
        </w:rPr>
        <w:t>Ceci se justifiant par le fait que les tirages sont indépendants d’un degré à l’autre.</w:t>
      </w:r>
    </w:p>
    <w:p w14:paraId="4296AA43" w14:textId="35686C75" w:rsidR="005F1702" w:rsidRPr="00A40882" w:rsidRDefault="00A40882" w:rsidP="0056146E">
      <w:pPr>
        <w:pStyle w:val="Paragraphedeliste"/>
        <w:numPr>
          <w:ilvl w:val="0"/>
          <w:numId w:val="5"/>
        </w:numPr>
        <w:jc w:val="both"/>
        <w:rPr>
          <w:b/>
          <w:i/>
        </w:rPr>
      </w:pPr>
      <w:r w:rsidRPr="00A40882">
        <w:rPr>
          <w:b/>
          <w:i/>
        </w:rPr>
        <w:t>Pondération</w:t>
      </w:r>
    </w:p>
    <w:p w14:paraId="3860D0CE" w14:textId="77777777" w:rsidR="00A40882" w:rsidRPr="00A40882" w:rsidRDefault="00A40882" w:rsidP="0022529E">
      <w:pPr>
        <w:jc w:val="both"/>
        <w:rPr>
          <w:rFonts w:cstheme="minorHAnsi"/>
          <w:bCs/>
          <w:iCs/>
          <w:color w:val="000000" w:themeColor="text1"/>
          <w:lang w:eastAsia="fr-FR"/>
        </w:rPr>
      </w:pPr>
      <w:r w:rsidRPr="00A40882">
        <w:rPr>
          <w:rFonts w:cstheme="minorHAnsi"/>
          <w:bCs/>
          <w:iCs/>
          <w:color w:val="000000" w:themeColor="text1"/>
          <w:lang w:eastAsia="fr-FR"/>
        </w:rPr>
        <w:t xml:space="preserve">Etant donné que l’inverse de la probabilité d’inclusion est le coefficient de pondération des unités enquêtées, nous convenons que chaque ménage enquêté de la strate h, de la commune i et du village j  a un poids </w:t>
      </w:r>
      <m:oMath>
        <m:sSub>
          <m:sSubPr>
            <m:ctrlPr>
              <w:rPr>
                <w:rFonts w:ascii="Cambria Math" w:hAnsi="Cambria Math" w:cstheme="minorHAnsi"/>
                <w:bCs/>
                <w:iCs/>
                <w:color w:val="000000" w:themeColor="text1"/>
                <w:vertAlign w:val="subscript"/>
                <w:lang w:eastAsia="fr-FR"/>
              </w:rPr>
            </m:ctrlPr>
          </m:sSubPr>
          <m:e>
            <m:r>
              <w:rPr>
                <w:rFonts w:ascii="Cambria Math" w:hAnsi="Cambria Math" w:cstheme="minorHAnsi"/>
                <w:color w:val="000000" w:themeColor="text1"/>
                <w:vertAlign w:val="subscript"/>
                <w:lang w:eastAsia="fr-FR"/>
              </w:rPr>
              <m:t>p</m:t>
            </m:r>
          </m:e>
          <m:sub>
            <m:r>
              <w:rPr>
                <w:rFonts w:ascii="Cambria Math" w:hAnsi="Cambria Math" w:cstheme="minorHAnsi"/>
                <w:color w:val="000000" w:themeColor="text1"/>
                <w:vertAlign w:val="subscript"/>
                <w:lang w:eastAsia="fr-FR"/>
              </w:rPr>
              <m:t>hij</m:t>
            </m:r>
          </m:sub>
        </m:sSub>
      </m:oMath>
      <w:r w:rsidRPr="00A40882">
        <w:rPr>
          <w:rFonts w:cstheme="minorHAnsi"/>
          <w:bCs/>
          <w:iCs/>
          <w:color w:val="000000" w:themeColor="text1"/>
          <w:lang w:eastAsia="fr-FR"/>
        </w:rPr>
        <w:t xml:space="preserve"> égal à :</w:t>
      </w:r>
    </w:p>
    <w:p w14:paraId="7537479F" w14:textId="77777777" w:rsidR="00A40882" w:rsidRPr="00A40882" w:rsidRDefault="008339A9" w:rsidP="00A40882">
      <w:pPr>
        <w:pStyle w:val="Paragraphedeliste"/>
        <w:ind w:left="0"/>
        <w:rPr>
          <w:rFonts w:cstheme="minorHAnsi"/>
          <w:bCs/>
          <w:iCs/>
          <w:color w:val="000000" w:themeColor="text1"/>
          <w:lang w:eastAsia="fr-FR"/>
        </w:rPr>
      </w:pPr>
      <m:oMathPara>
        <m:oMathParaPr>
          <m:jc m:val="center"/>
        </m:oMathParaPr>
        <m:oMath>
          <m:sSub>
            <m:sSubPr>
              <m:ctrlPr>
                <w:rPr>
                  <w:rFonts w:ascii="Cambria Math" w:hAnsi="Cambria Math" w:cstheme="minorHAnsi"/>
                  <w:bCs/>
                  <w:iCs/>
                  <w:color w:val="000000" w:themeColor="text1"/>
                  <w:vertAlign w:val="subscript"/>
                  <w:lang w:eastAsia="fr-FR"/>
                </w:rPr>
              </m:ctrlPr>
            </m:sSubPr>
            <m:e>
              <m:r>
                <w:rPr>
                  <w:rFonts w:ascii="Cambria Math" w:hAnsi="Cambria Math" w:cstheme="minorHAnsi"/>
                  <w:color w:val="000000" w:themeColor="text1"/>
                  <w:vertAlign w:val="subscript"/>
                  <w:lang w:eastAsia="fr-FR"/>
                </w:rPr>
                <m:t>p</m:t>
              </m:r>
            </m:e>
            <m:sub>
              <m:r>
                <w:rPr>
                  <w:rFonts w:ascii="Cambria Math" w:hAnsi="Cambria Math" w:cstheme="minorHAnsi"/>
                  <w:color w:val="000000" w:themeColor="text1"/>
                  <w:vertAlign w:val="subscript"/>
                  <w:lang w:eastAsia="fr-FR"/>
                </w:rPr>
                <m:t>hij</m:t>
              </m:r>
            </m:sub>
          </m:sSub>
          <m:r>
            <w:rPr>
              <w:rFonts w:ascii="Cambria Math" w:hAnsi="Cambria Math" w:cstheme="minorHAnsi"/>
              <w:color w:val="000000" w:themeColor="text1"/>
              <w:vertAlign w:val="subscript"/>
              <w:lang w:eastAsia="fr-FR"/>
            </w:rPr>
            <m:t>=</m:t>
          </m:r>
          <m:f>
            <m:fPr>
              <m:ctrlPr>
                <w:rPr>
                  <w:rFonts w:ascii="Cambria Math" w:hAnsi="Cambria Math" w:cstheme="minorHAnsi"/>
                  <w:lang w:eastAsia="fr-FR"/>
                </w:rPr>
              </m:ctrlPr>
            </m:fPr>
            <m:num>
              <m:r>
                <w:rPr>
                  <w:rFonts w:ascii="Cambria Math" w:hAnsi="Cambria Math" w:cstheme="minorHAnsi"/>
                  <w:lang w:eastAsia="fr-FR"/>
                </w:rPr>
                <m:t>1</m:t>
              </m:r>
            </m:num>
            <m:den>
              <m:sSub>
                <m:sSubPr>
                  <m:ctrlPr>
                    <w:rPr>
                      <w:rFonts w:ascii="Cambria Math" w:hAnsi="Cambria Math" w:cstheme="minorHAnsi"/>
                      <w:i/>
                      <w:lang w:eastAsia="fr-FR"/>
                    </w:rPr>
                  </m:ctrlPr>
                </m:sSubPr>
                <m:e>
                  <m:r>
                    <w:rPr>
                      <w:rFonts w:ascii="Cambria Math" w:hAnsi="Cambria Math" w:cstheme="minorHAnsi"/>
                      <w:lang w:eastAsia="fr-FR"/>
                    </w:rPr>
                    <m:t>f</m:t>
                  </m:r>
                </m:e>
                <m:sub>
                  <m:r>
                    <w:rPr>
                      <w:rFonts w:ascii="Cambria Math" w:hAnsi="Cambria Math" w:cstheme="minorHAnsi"/>
                      <w:lang w:eastAsia="fr-FR"/>
                    </w:rPr>
                    <m:t>hij</m:t>
                  </m:r>
                </m:sub>
              </m:sSub>
            </m:den>
          </m:f>
          <m:r>
            <m:rPr>
              <m:sty m:val="p"/>
            </m:rPr>
            <w:rPr>
              <w:rFonts w:ascii="Cambria Math" w:eastAsiaTheme="minorEastAsia" w:hAnsi="Cambria Math" w:cstheme="minorHAnsi"/>
              <w:lang w:eastAsia="fr-FR"/>
            </w:rPr>
            <m:t xml:space="preserve"> </m:t>
          </m:r>
          <m:r>
            <w:rPr>
              <w:rFonts w:ascii="Cambria Math" w:hAnsi="Cambria Math" w:cstheme="minorHAnsi"/>
              <w:color w:val="000000" w:themeColor="text1"/>
              <w:vertAlign w:val="subscript"/>
              <w:lang w:eastAsia="fr-FR"/>
            </w:rPr>
            <m:t xml:space="preserve"> </m:t>
          </m:r>
        </m:oMath>
      </m:oMathPara>
    </w:p>
    <w:p w14:paraId="14323C8B" w14:textId="304900D4" w:rsidR="00410D2E" w:rsidRDefault="005F1702" w:rsidP="002B0096">
      <w:pPr>
        <w:jc w:val="both"/>
      </w:pPr>
      <w:r>
        <w:t>Ce choix présente plusieurs avantages notamment</w:t>
      </w:r>
      <w:r w:rsidRPr="00A50173">
        <w:t xml:space="preserve"> </w:t>
      </w:r>
      <w:r>
        <w:t>d’é</w:t>
      </w:r>
      <w:r w:rsidRPr="00A50173">
        <w:t>viter u</w:t>
      </w:r>
      <w:r w:rsidR="00A40882">
        <w:t xml:space="preserve">ne dispersion géographique très </w:t>
      </w:r>
      <w:r w:rsidRPr="00A50173">
        <w:t>importante de l’échantillon dans un vaste espace non homogène et pouvant générer des coûts inutiles.</w:t>
      </w:r>
      <w:r w:rsidR="00942553">
        <w:t xml:space="preserve"> La figure </w:t>
      </w:r>
      <w:r w:rsidR="00410D2E">
        <w:t>1</w:t>
      </w:r>
      <w:r w:rsidR="00942553">
        <w:t xml:space="preserve"> présente la répartition des éleveurs enquêtés dans les 5 départements de l’étude.</w:t>
      </w:r>
    </w:p>
    <w:p w14:paraId="31468D2E" w14:textId="1D56940C" w:rsidR="005F1702" w:rsidRDefault="005F1702" w:rsidP="0056146E">
      <w:pPr>
        <w:pStyle w:val="Titre2"/>
        <w:numPr>
          <w:ilvl w:val="0"/>
          <w:numId w:val="27"/>
        </w:numPr>
      </w:pPr>
      <w:bookmarkStart w:id="45" w:name="_Toc17840325"/>
      <w:r>
        <w:t>Procédure de recrutement des participants aux enquêtes et interviews</w:t>
      </w:r>
      <w:bookmarkEnd w:id="45"/>
    </w:p>
    <w:p w14:paraId="7AA2DC6C" w14:textId="124C4C73" w:rsidR="005F1702" w:rsidRDefault="005F1702" w:rsidP="0056146E">
      <w:pPr>
        <w:pStyle w:val="Titre3"/>
        <w:numPr>
          <w:ilvl w:val="0"/>
          <w:numId w:val="13"/>
        </w:numPr>
      </w:pPr>
      <w:bookmarkStart w:id="46" w:name="_Toc17840326"/>
      <w:r>
        <w:t>Recrutement des participants à l’enquête</w:t>
      </w:r>
      <w:bookmarkEnd w:id="46"/>
    </w:p>
    <w:p w14:paraId="54EF1CB6" w14:textId="07C9E19D" w:rsidR="005F1702" w:rsidRDefault="005F1702" w:rsidP="009347E9">
      <w:pPr>
        <w:jc w:val="both"/>
      </w:pPr>
      <w:r>
        <w:t xml:space="preserve">Une fois que les villages sont déterminés de manière aléatoire, le recrutement des éleveurs à enquêter se fait de manière aléatoire. En effet, les superviseurs sont chargés de recenser le nombre de concession au niveau de chaque village </w:t>
      </w:r>
      <w:r w:rsidR="005972CE">
        <w:t xml:space="preserve">à l’aide du chef de village </w:t>
      </w:r>
      <w:r>
        <w:t xml:space="preserve">et une fois que cela est fait, ils </w:t>
      </w:r>
      <w:r w:rsidR="005972CE">
        <w:t xml:space="preserve">choisissent </w:t>
      </w:r>
      <w:r>
        <w:t xml:space="preserve">de manière aléatoire 5 concessions dans le village où les enquêteurs devront faire l’étude. </w:t>
      </w:r>
      <w:r w:rsidR="005972CE">
        <w:t xml:space="preserve">Le </w:t>
      </w:r>
      <w:r w:rsidR="005972CE" w:rsidRPr="005972CE">
        <w:t xml:space="preserve">choix aléatoire des ménages à </w:t>
      </w:r>
      <w:r w:rsidR="005972CE">
        <w:t>enquêter dans chaque village s’est effectué sur</w:t>
      </w:r>
      <w:r w:rsidR="005972CE" w:rsidRPr="005972CE">
        <w:t xml:space="preserve"> la base de l’application « </w:t>
      </w:r>
      <w:proofErr w:type="spellStart"/>
      <w:r w:rsidR="005972CE" w:rsidRPr="005972CE">
        <w:t>My</w:t>
      </w:r>
      <w:proofErr w:type="spellEnd"/>
      <w:r w:rsidR="005972CE" w:rsidRPr="005972CE">
        <w:t xml:space="preserve"> </w:t>
      </w:r>
      <w:proofErr w:type="spellStart"/>
      <w:r w:rsidR="005972CE" w:rsidRPr="005972CE">
        <w:t>random</w:t>
      </w:r>
      <w:proofErr w:type="spellEnd"/>
      <w:r w:rsidR="005972CE" w:rsidRPr="005972CE">
        <w:t xml:space="preserve"> » qui permet de faire des choix aléatoires. Le </w:t>
      </w:r>
      <w:r w:rsidR="005972CE">
        <w:t xml:space="preserve">principe </w:t>
      </w:r>
      <w:r w:rsidR="005972CE" w:rsidRPr="005972CE">
        <w:t>consistait tout simplement à entrer les noms de ces concessions (nom du chef de concessions par exemple) dans l’application pour en choisir celle</w:t>
      </w:r>
      <w:r w:rsidR="005972CE">
        <w:t>s</w:t>
      </w:r>
      <w:r w:rsidR="005972CE" w:rsidRPr="005972CE">
        <w:t xml:space="preserve"> qui participeront à l’étude.</w:t>
      </w:r>
      <w:r w:rsidR="005972CE">
        <w:t xml:space="preserve"> Ensuite, d</w:t>
      </w:r>
      <w:r>
        <w:t xml:space="preserve">ans chaque </w:t>
      </w:r>
      <w:r w:rsidR="005972CE">
        <w:t>concession, c’est à l’enquêteur de procéder au recensement du</w:t>
      </w:r>
      <w:r>
        <w:t xml:space="preserve"> nombre de ménage pratiquant l’élevage dans les concessions et </w:t>
      </w:r>
      <w:r w:rsidR="005972CE">
        <w:t>à en choisir</w:t>
      </w:r>
      <w:r>
        <w:t xml:space="preserve"> un de manière aléatoire.</w:t>
      </w:r>
      <w:r w:rsidR="005972CE">
        <w:t xml:space="preserve"> Par défaut, c</w:t>
      </w:r>
      <w:r>
        <w:t>’est le chef de ménage du ménage choisi qui sera enquêté</w:t>
      </w:r>
      <w:r w:rsidR="005972CE">
        <w:t xml:space="preserve"> s’il est responsable du troupeau et prend l’essentielle des décisions qui le concerne</w:t>
      </w:r>
      <w:r>
        <w:t xml:space="preserve">. Si toutefois, le chef de ménage n’est pas responsable du troupeau dans son ménage, la personne responsable du troupeau dans le ménage est demandée et c’est cette personne qui </w:t>
      </w:r>
      <w:r w:rsidR="00534D25">
        <w:t>est</w:t>
      </w:r>
      <w:r>
        <w:t xml:space="preserve"> interviewée. </w:t>
      </w:r>
    </w:p>
    <w:p w14:paraId="742D4728" w14:textId="27B243A4" w:rsidR="005F1702" w:rsidRDefault="005F1702" w:rsidP="0056146E">
      <w:pPr>
        <w:pStyle w:val="Titre3"/>
        <w:numPr>
          <w:ilvl w:val="0"/>
          <w:numId w:val="13"/>
        </w:numPr>
        <w:jc w:val="both"/>
      </w:pPr>
      <w:bookmarkStart w:id="47" w:name="_Toc17840327"/>
      <w:r>
        <w:t>Recrutement des participants aux interviews</w:t>
      </w:r>
      <w:bookmarkEnd w:id="47"/>
    </w:p>
    <w:p w14:paraId="453EC536" w14:textId="1E9725F6" w:rsidR="008F22D1" w:rsidRDefault="005F1702" w:rsidP="009347E9">
      <w:pPr>
        <w:jc w:val="both"/>
      </w:pPr>
      <w:r>
        <w:t xml:space="preserve">L’étude </w:t>
      </w:r>
      <w:r w:rsidR="00534D25">
        <w:t>a effectué</w:t>
      </w:r>
      <w:r>
        <w:t xml:space="preserve"> en </w:t>
      </w:r>
      <w:r w:rsidR="00534D25">
        <w:t xml:space="preserve">plus et en </w:t>
      </w:r>
      <w:r>
        <w:t>parallèle de</w:t>
      </w:r>
      <w:r w:rsidR="00534D25">
        <w:t>s enquêtes,</w:t>
      </w:r>
      <w:r>
        <w:t xml:space="preserve"> des interviews avec des personnes ressources. Au total, 15 interviews avec des personnes ressources </w:t>
      </w:r>
      <w:r w:rsidR="00534D25">
        <w:t>ont été</w:t>
      </w:r>
      <w:r>
        <w:t xml:space="preserve"> effectuées au niveau des 15 communes ciblées à raison d’une interview d’une personne ressource par commune. Pour choisir les personnes ressources à </w:t>
      </w:r>
      <w:r w:rsidR="00534D25">
        <w:t>interviewer, les superviseurs se sont rapprochés</w:t>
      </w:r>
      <w:r>
        <w:t xml:space="preserve"> des représentants des associations d’éleveurs et contacts qui leur sont fournis par les membres de l’équipe dans chaque département. </w:t>
      </w:r>
      <w:r w:rsidRPr="007C7593">
        <w:t xml:space="preserve">Les personnes ressources </w:t>
      </w:r>
      <w:r w:rsidR="00534D25">
        <w:t xml:space="preserve">à interviewer </w:t>
      </w:r>
      <w:r w:rsidRPr="007C7593">
        <w:t>sont soit les représentants des organisations d’éleveurs soit le personnel des services techniques d’élevage, soit le personnel des projets et programmes qui interviennent dans le domaine pastoral, soit les grands éleveurs.</w:t>
      </w:r>
      <w:r w:rsidR="00F4696A">
        <w:t xml:space="preserve"> Le recrutement et l’interview des </w:t>
      </w:r>
      <w:r w:rsidR="00F4696A">
        <w:lastRenderedPageBreak/>
        <w:t>personnes ressources était effectué à chaque fois par le superviseur après concertation avec les membres de l’équipe à Dakar.</w:t>
      </w:r>
    </w:p>
    <w:p w14:paraId="7394E6ED" w14:textId="1D4746F9" w:rsidR="008F22D1" w:rsidRDefault="008F22D1" w:rsidP="0056146E">
      <w:pPr>
        <w:pStyle w:val="Titre2"/>
        <w:numPr>
          <w:ilvl w:val="0"/>
          <w:numId w:val="27"/>
        </w:numPr>
      </w:pPr>
      <w:bookmarkStart w:id="48" w:name="_Toc17840328"/>
      <w:r>
        <w:t>Mise en œuvre de l’évaluation contingente du consentement à payer</w:t>
      </w:r>
      <w:bookmarkEnd w:id="48"/>
    </w:p>
    <w:p w14:paraId="1C366745" w14:textId="786736A5" w:rsidR="00A0225C" w:rsidRDefault="00A0225C" w:rsidP="009347E9">
      <w:pPr>
        <w:jc w:val="both"/>
      </w:pPr>
      <w:r>
        <w:t xml:space="preserve">Pour appréhender le consentement à payer des éleveurs, nous avons adopter la méthode d’évaluation contingente (MEC). Il s’agit d’une méthode utilisée en économie </w:t>
      </w:r>
      <w:r w:rsidR="000956CD">
        <w:t xml:space="preserve">de l’environnement </w:t>
      </w:r>
      <w:r>
        <w:t xml:space="preserve">pour évaluer la valeur des biens non-marchand.  </w:t>
      </w:r>
      <w:r w:rsidR="007E67E6">
        <w:t xml:space="preserve">Elle est également utilisée dans la littérature sur l’assurance indicielle pour estimer la disposition à payer des éleveurs pour s’assurer. </w:t>
      </w:r>
      <w:r w:rsidR="007E67E6" w:rsidRPr="007E67E6">
        <w:t xml:space="preserve">Le principe de la Mec consiste simplement à poser une question de consentement à payer (ou à recevoir) à un échantillon représentatif de la population </w:t>
      </w:r>
      <w:r w:rsidR="007E67E6">
        <w:t xml:space="preserve">étudiée </w:t>
      </w:r>
      <w:r w:rsidR="007E67E6" w:rsidRPr="007E67E6">
        <w:t>pour accéder ou (renonce</w:t>
      </w:r>
      <w:r w:rsidR="007E67E6">
        <w:t xml:space="preserve">r) </w:t>
      </w:r>
      <w:r w:rsidR="000956CD">
        <w:t>au bien à é</w:t>
      </w:r>
      <w:r w:rsidR="00971DBF">
        <w:t>valuer</w:t>
      </w:r>
      <w:r w:rsidR="00563C29">
        <w:t xml:space="preserve"> </w:t>
      </w:r>
      <w:sdt>
        <w:sdtPr>
          <w:id w:val="1125979142"/>
          <w:citation/>
        </w:sdtPr>
        <w:sdtEndPr/>
        <w:sdtContent>
          <w:r w:rsidR="00563C29">
            <w:fldChar w:fldCharType="begin"/>
          </w:r>
          <w:r w:rsidR="00563C29">
            <w:instrText xml:space="preserve"> CITATION Mel11 \l 1036 </w:instrText>
          </w:r>
          <w:r w:rsidR="00563C29">
            <w:fldChar w:fldCharType="separate"/>
          </w:r>
          <w:r w:rsidR="004131F6">
            <w:rPr>
              <w:noProof/>
            </w:rPr>
            <w:t>(Milanesi, 2011)</w:t>
          </w:r>
          <w:r w:rsidR="00563C29">
            <w:fldChar w:fldCharType="end"/>
          </w:r>
        </w:sdtContent>
      </w:sdt>
      <w:r w:rsidR="007E67E6">
        <w:t>. Un exemple est de savoir par exemple combien les habitants d’un q</w:t>
      </w:r>
      <w:r w:rsidR="00787069">
        <w:t xml:space="preserve">uartier paierait pour avoir un nouveau jardin public dans leur cité. </w:t>
      </w:r>
    </w:p>
    <w:p w14:paraId="44AFE2A8" w14:textId="2A2E4BCB" w:rsidR="00612F8A" w:rsidRDefault="00787069" w:rsidP="009347E9">
      <w:pPr>
        <w:jc w:val="both"/>
      </w:pPr>
      <w:r>
        <w:t xml:space="preserve">Dans le cadre de notre étude, la méthode d’évaluation que nous avons adoptée est celle de la carte des paiements. </w:t>
      </w:r>
      <w:r w:rsidR="00542759">
        <w:t>Elle consiste tout simplement à définir des valeurs initialement préparées sur la base des valeur</w:t>
      </w:r>
      <w:r w:rsidR="00A87A4D">
        <w:t>s</w:t>
      </w:r>
      <w:r w:rsidR="00542759">
        <w:t xml:space="preserve"> que peuvent raisonnablement prendre </w:t>
      </w:r>
      <w:r w:rsidR="00A87A4D">
        <w:t xml:space="preserve">le bien ou le service pour lequel le consentement à payer est demandé. Ainsi, pour choisir les valeurs </w:t>
      </w:r>
      <w:r w:rsidR="001F7FFA">
        <w:t xml:space="preserve">à considérer pour le choix des cartes de paiement, nous nous sommes basés sur des valeurs qui étaient déjà proposé par la CNAAS dans le cadre du programme BRACED. C’est valeurs étaient de 500 FCFA pour un petit ruminant et 4000 FCFA pour un bovin. Toutefois, nous avons voulu tester l’offre de quatre différents produits. Cela nous a amené à demander le consentement à payer pour assurer chaque tête de bétail du troupeau, tout le troupeau dans son ensemble, les cinq têtes les plus importantes du troupeau ou encore chaque valeur de 100 000 FCFA du troupeau. Le tableau xxx suivant donne le montant des cartes de paiement que nous avons proposés comme valeur </w:t>
      </w:r>
      <w:r w:rsidR="00612F8A">
        <w:t>qu’ils pouvaient</w:t>
      </w:r>
      <w:r w:rsidR="001F7FFA">
        <w:t xml:space="preserve"> choisir pour acheter les produits d’</w:t>
      </w:r>
      <w:r w:rsidR="00612F8A">
        <w:t xml:space="preserve">assurance offerts. Enfin, pour compléter les informations sur les produits d’assurance offert, nous avons proposés qu’ils offraient une couverture annuelle (comme pour les polices actuelles de la CNAAS) et qu’elle rembourserait sur la base de l’ampleur du risque jusqu’à 100% de la valeur assurée. </w:t>
      </w:r>
    </w:p>
    <w:p w14:paraId="69230FE8" w14:textId="36CF4167" w:rsidR="00C615E2" w:rsidRDefault="00C615E2" w:rsidP="00C615E2">
      <w:pPr>
        <w:pStyle w:val="Lgende"/>
        <w:keepNext/>
      </w:pPr>
      <w:bookmarkStart w:id="49" w:name="_Toc17840239"/>
      <w:r>
        <w:t xml:space="preserve">Tableau </w:t>
      </w:r>
      <w:r w:rsidR="008339A9">
        <w:rPr>
          <w:noProof/>
        </w:rPr>
        <w:fldChar w:fldCharType="begin"/>
      </w:r>
      <w:r w:rsidR="008339A9">
        <w:rPr>
          <w:noProof/>
        </w:rPr>
        <w:instrText xml:space="preserve"> SEQ Tableau \* ARABIC </w:instrText>
      </w:r>
      <w:r w:rsidR="008339A9">
        <w:rPr>
          <w:noProof/>
        </w:rPr>
        <w:fldChar w:fldCharType="separate"/>
      </w:r>
      <w:r w:rsidR="00870393">
        <w:rPr>
          <w:noProof/>
        </w:rPr>
        <w:t>2</w:t>
      </w:r>
      <w:r w:rsidR="008339A9">
        <w:rPr>
          <w:noProof/>
        </w:rPr>
        <w:fldChar w:fldCharType="end"/>
      </w:r>
      <w:r>
        <w:t>: Carte de paiement choisies pour mesurer le consentement à payer selon différentes offres d'assurance bétail</w:t>
      </w:r>
      <w:bookmarkEnd w:id="49"/>
    </w:p>
    <w:tbl>
      <w:tblPr>
        <w:tblW w:w="5000" w:type="pct"/>
        <w:tblCellMar>
          <w:left w:w="70" w:type="dxa"/>
          <w:right w:w="70" w:type="dxa"/>
        </w:tblCellMar>
        <w:tblLook w:val="04A0" w:firstRow="1" w:lastRow="0" w:firstColumn="1" w:lastColumn="0" w:noHBand="0" w:noVBand="1"/>
      </w:tblPr>
      <w:tblGrid>
        <w:gridCol w:w="1106"/>
        <w:gridCol w:w="636"/>
        <w:gridCol w:w="806"/>
        <w:gridCol w:w="726"/>
        <w:gridCol w:w="636"/>
        <w:gridCol w:w="806"/>
        <w:gridCol w:w="726"/>
        <w:gridCol w:w="636"/>
        <w:gridCol w:w="806"/>
        <w:gridCol w:w="726"/>
        <w:gridCol w:w="636"/>
        <w:gridCol w:w="806"/>
      </w:tblGrid>
      <w:tr w:rsidR="0049225E" w:rsidRPr="0049225E" w14:paraId="40E03D5B" w14:textId="77777777" w:rsidTr="0049225E">
        <w:trPr>
          <w:trHeight w:val="290"/>
        </w:trPr>
        <w:tc>
          <w:tcPr>
            <w:tcW w:w="1316" w:type="pct"/>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03271301" w14:textId="77777777" w:rsidR="0049225E" w:rsidRPr="0049225E" w:rsidRDefault="0049225E" w:rsidP="00547371">
            <w:pPr>
              <w:spacing w:after="0" w:line="240" w:lineRule="auto"/>
              <w:jc w:val="center"/>
              <w:rPr>
                <w:rFonts w:ascii="Calibri" w:eastAsia="Times New Roman" w:hAnsi="Calibri" w:cs="Calibri"/>
                <w:color w:val="000000"/>
                <w:lang w:eastAsia="fr-FR"/>
              </w:rPr>
            </w:pPr>
            <w:r w:rsidRPr="0049225E">
              <w:rPr>
                <w:rFonts w:ascii="Calibri" w:eastAsia="Times New Roman" w:hAnsi="Calibri" w:cs="Calibri"/>
                <w:iCs/>
                <w:color w:val="000000"/>
                <w:lang w:eastAsia="fr-FR"/>
              </w:rPr>
              <w:t>Pour chaque tête de bétail</w:t>
            </w:r>
          </w:p>
        </w:tc>
        <w:tc>
          <w:tcPr>
            <w:tcW w:w="1260" w:type="pct"/>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D10B288" w14:textId="77777777" w:rsidR="0049225E" w:rsidRPr="0049225E" w:rsidRDefault="0049225E" w:rsidP="00547371">
            <w:pPr>
              <w:spacing w:after="0" w:line="240" w:lineRule="auto"/>
              <w:jc w:val="center"/>
              <w:rPr>
                <w:rFonts w:ascii="Calibri" w:eastAsia="Times New Roman" w:hAnsi="Calibri" w:cs="Calibri"/>
                <w:color w:val="000000"/>
                <w:lang w:eastAsia="fr-FR"/>
              </w:rPr>
            </w:pPr>
            <w:r w:rsidRPr="0049225E">
              <w:rPr>
                <w:rFonts w:ascii="Calibri" w:eastAsia="Times New Roman" w:hAnsi="Calibri" w:cs="Calibri"/>
                <w:iCs/>
                <w:color w:val="000000"/>
                <w:lang w:eastAsia="fr-FR"/>
              </w:rPr>
              <w:t>Pour les 5 + importantes bêtes du troupeau</w:t>
            </w:r>
          </w:p>
        </w:tc>
        <w:tc>
          <w:tcPr>
            <w:tcW w:w="1220" w:type="pct"/>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549DC27B" w14:textId="77777777" w:rsidR="0049225E" w:rsidRPr="0049225E" w:rsidRDefault="0049225E" w:rsidP="00547371">
            <w:pPr>
              <w:spacing w:after="0" w:line="240" w:lineRule="auto"/>
              <w:jc w:val="center"/>
              <w:rPr>
                <w:rFonts w:ascii="Calibri" w:eastAsia="Times New Roman" w:hAnsi="Calibri" w:cs="Calibri"/>
                <w:color w:val="000000"/>
                <w:lang w:eastAsia="fr-FR"/>
              </w:rPr>
            </w:pPr>
            <w:r w:rsidRPr="0049225E">
              <w:rPr>
                <w:rFonts w:ascii="Calibri" w:eastAsia="Times New Roman" w:hAnsi="Calibri" w:cs="Calibri"/>
                <w:iCs/>
                <w:color w:val="000000"/>
                <w:lang w:eastAsia="fr-FR"/>
              </w:rPr>
              <w:t>Pour tout le troupeau</w:t>
            </w:r>
          </w:p>
        </w:tc>
        <w:tc>
          <w:tcPr>
            <w:tcW w:w="1204" w:type="pct"/>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33AC68F" w14:textId="77777777" w:rsidR="0049225E" w:rsidRPr="0049225E" w:rsidRDefault="0049225E" w:rsidP="00547371">
            <w:pPr>
              <w:spacing w:after="0" w:line="240" w:lineRule="auto"/>
              <w:jc w:val="center"/>
              <w:rPr>
                <w:rFonts w:ascii="Calibri" w:eastAsia="Times New Roman" w:hAnsi="Calibri" w:cs="Calibri"/>
                <w:color w:val="000000"/>
                <w:lang w:eastAsia="fr-FR"/>
              </w:rPr>
            </w:pPr>
            <w:r w:rsidRPr="0049225E">
              <w:rPr>
                <w:rFonts w:ascii="Calibri" w:eastAsia="Times New Roman" w:hAnsi="Calibri" w:cs="Calibri"/>
                <w:iCs/>
                <w:color w:val="000000"/>
                <w:lang w:eastAsia="fr-FR"/>
              </w:rPr>
              <w:t>Pour chaque valeur de 100 000 francs CFA de votre troupeau</w:t>
            </w:r>
          </w:p>
        </w:tc>
      </w:tr>
      <w:tr w:rsidR="0049225E" w:rsidRPr="0049225E" w14:paraId="5A9F5258" w14:textId="77777777" w:rsidTr="0049225E">
        <w:trPr>
          <w:trHeight w:val="450"/>
        </w:trPr>
        <w:tc>
          <w:tcPr>
            <w:tcW w:w="1316" w:type="pct"/>
            <w:gridSpan w:val="3"/>
            <w:vMerge/>
            <w:tcBorders>
              <w:top w:val="single" w:sz="8" w:space="0" w:color="auto"/>
              <w:left w:val="single" w:sz="8" w:space="0" w:color="auto"/>
              <w:bottom w:val="single" w:sz="8" w:space="0" w:color="000000"/>
              <w:right w:val="single" w:sz="8" w:space="0" w:color="000000"/>
            </w:tcBorders>
            <w:vAlign w:val="center"/>
            <w:hideMark/>
          </w:tcPr>
          <w:p w14:paraId="759EAAFD" w14:textId="77777777" w:rsidR="0049225E" w:rsidRPr="0049225E" w:rsidRDefault="0049225E" w:rsidP="00547371">
            <w:pPr>
              <w:spacing w:after="0" w:line="240" w:lineRule="auto"/>
              <w:jc w:val="center"/>
              <w:rPr>
                <w:rFonts w:ascii="Calibri" w:eastAsia="Times New Roman" w:hAnsi="Calibri" w:cs="Calibri"/>
                <w:color w:val="000000"/>
                <w:lang w:eastAsia="fr-FR"/>
              </w:rPr>
            </w:pPr>
          </w:p>
        </w:tc>
        <w:tc>
          <w:tcPr>
            <w:tcW w:w="1260" w:type="pct"/>
            <w:gridSpan w:val="3"/>
            <w:vMerge/>
            <w:tcBorders>
              <w:top w:val="single" w:sz="8" w:space="0" w:color="auto"/>
              <w:left w:val="single" w:sz="8" w:space="0" w:color="auto"/>
              <w:bottom w:val="single" w:sz="8" w:space="0" w:color="000000"/>
              <w:right w:val="single" w:sz="8" w:space="0" w:color="000000"/>
            </w:tcBorders>
            <w:vAlign w:val="center"/>
            <w:hideMark/>
          </w:tcPr>
          <w:p w14:paraId="6312B16E" w14:textId="77777777" w:rsidR="0049225E" w:rsidRPr="0049225E" w:rsidRDefault="0049225E" w:rsidP="00547371">
            <w:pPr>
              <w:spacing w:after="0" w:line="240" w:lineRule="auto"/>
              <w:jc w:val="center"/>
              <w:rPr>
                <w:rFonts w:ascii="Calibri" w:eastAsia="Times New Roman" w:hAnsi="Calibri" w:cs="Calibri"/>
                <w:color w:val="000000"/>
                <w:lang w:eastAsia="fr-FR"/>
              </w:rPr>
            </w:pPr>
          </w:p>
        </w:tc>
        <w:tc>
          <w:tcPr>
            <w:tcW w:w="1220" w:type="pct"/>
            <w:gridSpan w:val="3"/>
            <w:vMerge/>
            <w:tcBorders>
              <w:top w:val="single" w:sz="8" w:space="0" w:color="auto"/>
              <w:left w:val="single" w:sz="8" w:space="0" w:color="auto"/>
              <w:bottom w:val="single" w:sz="8" w:space="0" w:color="000000"/>
              <w:right w:val="single" w:sz="8" w:space="0" w:color="000000"/>
            </w:tcBorders>
            <w:vAlign w:val="center"/>
            <w:hideMark/>
          </w:tcPr>
          <w:p w14:paraId="5F2DBD2C" w14:textId="77777777" w:rsidR="0049225E" w:rsidRPr="0049225E" w:rsidRDefault="0049225E" w:rsidP="00547371">
            <w:pPr>
              <w:spacing w:after="0" w:line="240" w:lineRule="auto"/>
              <w:jc w:val="center"/>
              <w:rPr>
                <w:rFonts w:ascii="Calibri" w:eastAsia="Times New Roman" w:hAnsi="Calibri" w:cs="Calibri"/>
                <w:color w:val="000000"/>
                <w:lang w:eastAsia="fr-FR"/>
              </w:rPr>
            </w:pPr>
          </w:p>
        </w:tc>
        <w:tc>
          <w:tcPr>
            <w:tcW w:w="1204" w:type="pct"/>
            <w:gridSpan w:val="3"/>
            <w:vMerge/>
            <w:tcBorders>
              <w:top w:val="single" w:sz="8" w:space="0" w:color="auto"/>
              <w:left w:val="single" w:sz="8" w:space="0" w:color="auto"/>
              <w:bottom w:val="single" w:sz="8" w:space="0" w:color="000000"/>
              <w:right w:val="single" w:sz="8" w:space="0" w:color="000000"/>
            </w:tcBorders>
            <w:vAlign w:val="center"/>
            <w:hideMark/>
          </w:tcPr>
          <w:p w14:paraId="78BF369E" w14:textId="77777777" w:rsidR="0049225E" w:rsidRPr="0049225E" w:rsidRDefault="0049225E" w:rsidP="00547371">
            <w:pPr>
              <w:spacing w:after="0" w:line="240" w:lineRule="auto"/>
              <w:jc w:val="center"/>
              <w:rPr>
                <w:rFonts w:ascii="Calibri" w:eastAsia="Times New Roman" w:hAnsi="Calibri" w:cs="Calibri"/>
                <w:color w:val="000000"/>
                <w:lang w:eastAsia="fr-FR"/>
              </w:rPr>
            </w:pPr>
          </w:p>
        </w:tc>
      </w:tr>
      <w:tr w:rsidR="0049225E" w:rsidRPr="0049225E" w14:paraId="46ED7246" w14:textId="77777777" w:rsidTr="0049225E">
        <w:trPr>
          <w:trHeight w:val="300"/>
        </w:trPr>
        <w:tc>
          <w:tcPr>
            <w:tcW w:w="5000" w:type="pct"/>
            <w:gridSpan w:val="1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F825B17" w14:textId="77777777" w:rsidR="0049225E" w:rsidRPr="0049225E" w:rsidRDefault="0049225E" w:rsidP="00547371">
            <w:pPr>
              <w:spacing w:after="0" w:line="240" w:lineRule="auto"/>
              <w:jc w:val="center"/>
              <w:rPr>
                <w:rFonts w:ascii="Calibri" w:eastAsia="Times New Roman" w:hAnsi="Calibri" w:cs="Calibri"/>
                <w:color w:val="000000"/>
                <w:lang w:eastAsia="fr-FR"/>
              </w:rPr>
            </w:pPr>
            <w:r w:rsidRPr="0049225E">
              <w:rPr>
                <w:rFonts w:ascii="Calibri" w:eastAsia="Times New Roman" w:hAnsi="Calibri" w:cs="Calibri"/>
                <w:iCs/>
                <w:color w:val="000000"/>
                <w:lang w:eastAsia="fr-FR"/>
              </w:rPr>
              <w:t>Combien êtes-vous prêts à payer pour avoir une assurance qui rembourse en cas –risque xxx- ?</w:t>
            </w:r>
          </w:p>
        </w:tc>
      </w:tr>
      <w:tr w:rsidR="0049225E" w:rsidRPr="0049225E" w14:paraId="4E4496E0" w14:textId="77777777" w:rsidTr="0049225E">
        <w:trPr>
          <w:trHeight w:val="300"/>
        </w:trPr>
        <w:tc>
          <w:tcPr>
            <w:tcW w:w="5000" w:type="pct"/>
            <w:gridSpan w:val="12"/>
            <w:tcBorders>
              <w:top w:val="single" w:sz="8" w:space="0" w:color="auto"/>
              <w:left w:val="single" w:sz="8" w:space="0" w:color="auto"/>
              <w:bottom w:val="single" w:sz="8" w:space="0" w:color="auto"/>
              <w:right w:val="single" w:sz="8" w:space="0" w:color="000000"/>
            </w:tcBorders>
            <w:shd w:val="clear" w:color="auto" w:fill="auto"/>
            <w:noWrap/>
            <w:vAlign w:val="center"/>
          </w:tcPr>
          <w:p w14:paraId="385CFA26" w14:textId="77777777" w:rsidR="0049225E" w:rsidRDefault="0049225E" w:rsidP="00547371">
            <w:pPr>
              <w:spacing w:after="0" w:line="240" w:lineRule="auto"/>
              <w:jc w:val="center"/>
              <w:rPr>
                <w:rFonts w:ascii="Calibri" w:eastAsia="Times New Roman" w:hAnsi="Calibri" w:cs="Calibri"/>
                <w:iCs/>
                <w:color w:val="000000"/>
                <w:lang w:eastAsia="fr-FR"/>
              </w:rPr>
            </w:pPr>
            <w:r w:rsidRPr="0049225E">
              <w:rPr>
                <w:rFonts w:ascii="Calibri" w:eastAsia="Times New Roman" w:hAnsi="Calibri" w:cs="Calibri"/>
                <w:b/>
                <w:iCs/>
                <w:color w:val="000000"/>
                <w:lang w:eastAsia="fr-FR"/>
              </w:rPr>
              <w:t>CARTE DE PAIEMENT :</w:t>
            </w:r>
          </w:p>
          <w:p w14:paraId="3653F757" w14:textId="61F5576C" w:rsidR="0049225E" w:rsidRPr="0049225E" w:rsidRDefault="0049225E" w:rsidP="00547371">
            <w:pPr>
              <w:spacing w:after="0" w:line="240" w:lineRule="auto"/>
              <w:jc w:val="center"/>
              <w:rPr>
                <w:rFonts w:ascii="Calibri" w:eastAsia="Times New Roman" w:hAnsi="Calibri" w:cs="Calibri"/>
                <w:iCs/>
                <w:color w:val="000000"/>
                <w:lang w:eastAsia="fr-FR"/>
              </w:rPr>
            </w:pPr>
            <w:r w:rsidRPr="0049225E">
              <w:rPr>
                <w:rFonts w:ascii="Calibri" w:eastAsia="Times New Roman" w:hAnsi="Calibri" w:cs="Calibri"/>
                <w:iCs/>
                <w:color w:val="000000"/>
                <w:lang w:eastAsia="fr-FR"/>
              </w:rPr>
              <w:t>0 = rien / 1 = 500 / 2 = 1000 /3 = 2000 /3 = 3000 / 4= 5000 /5= 7500 / 6 = 10000 / 7 = plus de 10000</w:t>
            </w:r>
          </w:p>
        </w:tc>
      </w:tr>
      <w:tr w:rsidR="0049225E" w:rsidRPr="0049225E" w14:paraId="658A072F" w14:textId="77777777" w:rsidTr="0049225E">
        <w:trPr>
          <w:trHeight w:val="300"/>
        </w:trPr>
        <w:tc>
          <w:tcPr>
            <w:tcW w:w="581" w:type="pct"/>
            <w:tcBorders>
              <w:top w:val="nil"/>
              <w:left w:val="single" w:sz="8" w:space="0" w:color="auto"/>
              <w:bottom w:val="single" w:sz="8" w:space="0" w:color="auto"/>
              <w:right w:val="single" w:sz="8" w:space="0" w:color="auto"/>
            </w:tcBorders>
            <w:shd w:val="clear" w:color="auto" w:fill="auto"/>
            <w:noWrap/>
            <w:vAlign w:val="center"/>
            <w:hideMark/>
          </w:tcPr>
          <w:p w14:paraId="1E45B715" w14:textId="77777777" w:rsidR="0049225E" w:rsidRPr="0049225E" w:rsidRDefault="0049225E" w:rsidP="00547371">
            <w:pPr>
              <w:spacing w:after="0" w:line="240" w:lineRule="auto"/>
              <w:jc w:val="center"/>
              <w:rPr>
                <w:rFonts w:ascii="Calibri" w:eastAsia="Times New Roman" w:hAnsi="Calibri" w:cs="Calibri"/>
                <w:color w:val="000000"/>
                <w:lang w:eastAsia="fr-FR"/>
              </w:rPr>
            </w:pPr>
            <w:proofErr w:type="spellStart"/>
            <w:r w:rsidRPr="0049225E">
              <w:rPr>
                <w:rFonts w:ascii="Calibri" w:eastAsia="Times New Roman" w:hAnsi="Calibri" w:cs="Calibri"/>
                <w:iCs/>
                <w:color w:val="000000"/>
                <w:lang w:val="en-GB" w:eastAsia="fr-FR"/>
              </w:rPr>
              <w:t>Bovins</w:t>
            </w:r>
            <w:proofErr w:type="spellEnd"/>
          </w:p>
        </w:tc>
        <w:tc>
          <w:tcPr>
            <w:tcW w:w="324" w:type="pct"/>
            <w:tcBorders>
              <w:top w:val="nil"/>
              <w:left w:val="nil"/>
              <w:bottom w:val="single" w:sz="8" w:space="0" w:color="auto"/>
              <w:right w:val="single" w:sz="8" w:space="0" w:color="auto"/>
            </w:tcBorders>
            <w:shd w:val="clear" w:color="auto" w:fill="auto"/>
            <w:vAlign w:val="center"/>
            <w:hideMark/>
          </w:tcPr>
          <w:p w14:paraId="738D5753" w14:textId="77777777" w:rsidR="0049225E" w:rsidRPr="0049225E" w:rsidRDefault="0049225E" w:rsidP="00547371">
            <w:pPr>
              <w:spacing w:after="0" w:line="240" w:lineRule="auto"/>
              <w:jc w:val="center"/>
              <w:rPr>
                <w:rFonts w:ascii="Calibri" w:eastAsia="Times New Roman" w:hAnsi="Calibri" w:cs="Calibri"/>
                <w:color w:val="000000"/>
                <w:lang w:eastAsia="fr-FR"/>
              </w:rPr>
            </w:pPr>
            <w:proofErr w:type="spellStart"/>
            <w:r w:rsidRPr="0049225E">
              <w:rPr>
                <w:rFonts w:ascii="Calibri" w:eastAsia="Times New Roman" w:hAnsi="Calibri" w:cs="Calibri"/>
                <w:iCs/>
                <w:color w:val="000000"/>
                <w:lang w:val="en-GB" w:eastAsia="fr-FR"/>
              </w:rPr>
              <w:t>Ovins</w:t>
            </w:r>
            <w:proofErr w:type="spellEnd"/>
          </w:p>
        </w:tc>
        <w:tc>
          <w:tcPr>
            <w:tcW w:w="410" w:type="pct"/>
            <w:tcBorders>
              <w:top w:val="nil"/>
              <w:left w:val="nil"/>
              <w:bottom w:val="single" w:sz="8" w:space="0" w:color="auto"/>
              <w:right w:val="single" w:sz="8" w:space="0" w:color="auto"/>
            </w:tcBorders>
            <w:shd w:val="clear" w:color="auto" w:fill="auto"/>
            <w:vAlign w:val="center"/>
            <w:hideMark/>
          </w:tcPr>
          <w:p w14:paraId="105BFBEC" w14:textId="77777777" w:rsidR="0049225E" w:rsidRPr="0049225E" w:rsidRDefault="0049225E" w:rsidP="00547371">
            <w:pPr>
              <w:spacing w:after="0" w:line="240" w:lineRule="auto"/>
              <w:jc w:val="center"/>
              <w:rPr>
                <w:rFonts w:ascii="Calibri" w:eastAsia="Times New Roman" w:hAnsi="Calibri" w:cs="Calibri"/>
                <w:color w:val="000000"/>
                <w:lang w:eastAsia="fr-FR"/>
              </w:rPr>
            </w:pPr>
            <w:proofErr w:type="spellStart"/>
            <w:r w:rsidRPr="0049225E">
              <w:rPr>
                <w:rFonts w:ascii="Calibri" w:eastAsia="Times New Roman" w:hAnsi="Calibri" w:cs="Calibri"/>
                <w:iCs/>
                <w:color w:val="000000"/>
                <w:lang w:val="en-GB" w:eastAsia="fr-FR"/>
              </w:rPr>
              <w:t>Caprins</w:t>
            </w:r>
            <w:proofErr w:type="spellEnd"/>
          </w:p>
        </w:tc>
        <w:tc>
          <w:tcPr>
            <w:tcW w:w="527" w:type="pct"/>
            <w:tcBorders>
              <w:top w:val="nil"/>
              <w:left w:val="nil"/>
              <w:bottom w:val="single" w:sz="8" w:space="0" w:color="auto"/>
              <w:right w:val="single" w:sz="8" w:space="0" w:color="auto"/>
            </w:tcBorders>
            <w:shd w:val="clear" w:color="auto" w:fill="auto"/>
            <w:vAlign w:val="center"/>
            <w:hideMark/>
          </w:tcPr>
          <w:p w14:paraId="33DC4E73" w14:textId="77777777" w:rsidR="0049225E" w:rsidRPr="0049225E" w:rsidRDefault="0049225E" w:rsidP="00547371">
            <w:pPr>
              <w:spacing w:after="0" w:line="240" w:lineRule="auto"/>
              <w:jc w:val="center"/>
              <w:rPr>
                <w:rFonts w:ascii="Calibri" w:eastAsia="Times New Roman" w:hAnsi="Calibri" w:cs="Calibri"/>
                <w:color w:val="000000"/>
                <w:lang w:eastAsia="fr-FR"/>
              </w:rPr>
            </w:pPr>
            <w:proofErr w:type="spellStart"/>
            <w:r w:rsidRPr="0049225E">
              <w:rPr>
                <w:rFonts w:ascii="Calibri" w:eastAsia="Times New Roman" w:hAnsi="Calibri" w:cs="Calibri"/>
                <w:iCs/>
                <w:color w:val="000000"/>
                <w:lang w:val="en-GB" w:eastAsia="fr-FR"/>
              </w:rPr>
              <w:t>Bovins</w:t>
            </w:r>
            <w:proofErr w:type="spellEnd"/>
          </w:p>
        </w:tc>
        <w:tc>
          <w:tcPr>
            <w:tcW w:w="324" w:type="pct"/>
            <w:tcBorders>
              <w:top w:val="nil"/>
              <w:left w:val="nil"/>
              <w:bottom w:val="single" w:sz="8" w:space="0" w:color="auto"/>
              <w:right w:val="single" w:sz="8" w:space="0" w:color="auto"/>
            </w:tcBorders>
            <w:shd w:val="clear" w:color="auto" w:fill="auto"/>
            <w:vAlign w:val="center"/>
            <w:hideMark/>
          </w:tcPr>
          <w:p w14:paraId="25BA50B8" w14:textId="77777777" w:rsidR="0049225E" w:rsidRPr="0049225E" w:rsidRDefault="0049225E" w:rsidP="00547371">
            <w:pPr>
              <w:spacing w:after="0" w:line="240" w:lineRule="auto"/>
              <w:jc w:val="center"/>
              <w:rPr>
                <w:rFonts w:ascii="Calibri" w:eastAsia="Times New Roman" w:hAnsi="Calibri" w:cs="Calibri"/>
                <w:color w:val="000000"/>
                <w:lang w:eastAsia="fr-FR"/>
              </w:rPr>
            </w:pPr>
            <w:proofErr w:type="spellStart"/>
            <w:r w:rsidRPr="0049225E">
              <w:rPr>
                <w:rFonts w:ascii="Calibri" w:eastAsia="Times New Roman" w:hAnsi="Calibri" w:cs="Calibri"/>
                <w:iCs/>
                <w:color w:val="000000"/>
                <w:lang w:val="en-GB" w:eastAsia="fr-FR"/>
              </w:rPr>
              <w:t>Ovins</w:t>
            </w:r>
            <w:proofErr w:type="spellEnd"/>
          </w:p>
        </w:tc>
        <w:tc>
          <w:tcPr>
            <w:tcW w:w="410" w:type="pct"/>
            <w:tcBorders>
              <w:top w:val="nil"/>
              <w:left w:val="nil"/>
              <w:bottom w:val="single" w:sz="8" w:space="0" w:color="auto"/>
              <w:right w:val="single" w:sz="8" w:space="0" w:color="auto"/>
            </w:tcBorders>
            <w:shd w:val="clear" w:color="auto" w:fill="auto"/>
            <w:vAlign w:val="center"/>
            <w:hideMark/>
          </w:tcPr>
          <w:p w14:paraId="77B76C7F" w14:textId="77777777" w:rsidR="0049225E" w:rsidRPr="0049225E" w:rsidRDefault="0049225E" w:rsidP="00547371">
            <w:pPr>
              <w:spacing w:after="0" w:line="240" w:lineRule="auto"/>
              <w:jc w:val="center"/>
              <w:rPr>
                <w:rFonts w:ascii="Calibri" w:eastAsia="Times New Roman" w:hAnsi="Calibri" w:cs="Calibri"/>
                <w:color w:val="000000"/>
                <w:lang w:eastAsia="fr-FR"/>
              </w:rPr>
            </w:pPr>
            <w:proofErr w:type="spellStart"/>
            <w:r w:rsidRPr="0049225E">
              <w:rPr>
                <w:rFonts w:ascii="Calibri" w:eastAsia="Times New Roman" w:hAnsi="Calibri" w:cs="Calibri"/>
                <w:iCs/>
                <w:color w:val="000000"/>
                <w:lang w:val="en-GB" w:eastAsia="fr-FR"/>
              </w:rPr>
              <w:t>Caprins</w:t>
            </w:r>
            <w:proofErr w:type="spellEnd"/>
          </w:p>
        </w:tc>
        <w:tc>
          <w:tcPr>
            <w:tcW w:w="487" w:type="pct"/>
            <w:tcBorders>
              <w:top w:val="nil"/>
              <w:left w:val="nil"/>
              <w:bottom w:val="single" w:sz="8" w:space="0" w:color="auto"/>
              <w:right w:val="single" w:sz="8" w:space="0" w:color="auto"/>
            </w:tcBorders>
            <w:shd w:val="clear" w:color="auto" w:fill="auto"/>
            <w:noWrap/>
            <w:vAlign w:val="center"/>
            <w:hideMark/>
          </w:tcPr>
          <w:p w14:paraId="52CA332E" w14:textId="77777777" w:rsidR="0049225E" w:rsidRPr="0049225E" w:rsidRDefault="0049225E" w:rsidP="00547371">
            <w:pPr>
              <w:spacing w:after="0" w:line="240" w:lineRule="auto"/>
              <w:jc w:val="center"/>
              <w:rPr>
                <w:rFonts w:ascii="Calibri" w:eastAsia="Times New Roman" w:hAnsi="Calibri" w:cs="Calibri"/>
                <w:color w:val="000000"/>
                <w:lang w:eastAsia="fr-FR"/>
              </w:rPr>
            </w:pPr>
            <w:proofErr w:type="spellStart"/>
            <w:r w:rsidRPr="0049225E">
              <w:rPr>
                <w:rFonts w:ascii="Calibri" w:eastAsia="Times New Roman" w:hAnsi="Calibri" w:cs="Calibri"/>
                <w:iCs/>
                <w:color w:val="000000"/>
                <w:lang w:val="en-GB" w:eastAsia="fr-FR"/>
              </w:rPr>
              <w:t>Bovins</w:t>
            </w:r>
            <w:proofErr w:type="spellEnd"/>
          </w:p>
        </w:tc>
        <w:tc>
          <w:tcPr>
            <w:tcW w:w="324" w:type="pct"/>
            <w:tcBorders>
              <w:top w:val="nil"/>
              <w:left w:val="nil"/>
              <w:bottom w:val="single" w:sz="8" w:space="0" w:color="auto"/>
              <w:right w:val="single" w:sz="8" w:space="0" w:color="auto"/>
            </w:tcBorders>
            <w:shd w:val="clear" w:color="auto" w:fill="auto"/>
            <w:vAlign w:val="center"/>
            <w:hideMark/>
          </w:tcPr>
          <w:p w14:paraId="321A4D0B" w14:textId="77777777" w:rsidR="0049225E" w:rsidRPr="0049225E" w:rsidRDefault="0049225E" w:rsidP="00547371">
            <w:pPr>
              <w:spacing w:after="0" w:line="240" w:lineRule="auto"/>
              <w:jc w:val="center"/>
              <w:rPr>
                <w:rFonts w:ascii="Calibri" w:eastAsia="Times New Roman" w:hAnsi="Calibri" w:cs="Calibri"/>
                <w:color w:val="000000"/>
                <w:lang w:eastAsia="fr-FR"/>
              </w:rPr>
            </w:pPr>
            <w:proofErr w:type="spellStart"/>
            <w:r w:rsidRPr="0049225E">
              <w:rPr>
                <w:rFonts w:ascii="Calibri" w:eastAsia="Times New Roman" w:hAnsi="Calibri" w:cs="Calibri"/>
                <w:iCs/>
                <w:color w:val="000000"/>
                <w:lang w:val="en-GB" w:eastAsia="fr-FR"/>
              </w:rPr>
              <w:t>Ovins</w:t>
            </w:r>
            <w:proofErr w:type="spellEnd"/>
          </w:p>
        </w:tc>
        <w:tc>
          <w:tcPr>
            <w:tcW w:w="410" w:type="pct"/>
            <w:tcBorders>
              <w:top w:val="nil"/>
              <w:left w:val="nil"/>
              <w:bottom w:val="single" w:sz="8" w:space="0" w:color="auto"/>
              <w:right w:val="single" w:sz="8" w:space="0" w:color="auto"/>
            </w:tcBorders>
            <w:shd w:val="clear" w:color="auto" w:fill="auto"/>
            <w:vAlign w:val="center"/>
            <w:hideMark/>
          </w:tcPr>
          <w:p w14:paraId="360A76F6" w14:textId="77777777" w:rsidR="0049225E" w:rsidRPr="0049225E" w:rsidRDefault="0049225E" w:rsidP="00547371">
            <w:pPr>
              <w:spacing w:after="0" w:line="240" w:lineRule="auto"/>
              <w:jc w:val="center"/>
              <w:rPr>
                <w:rFonts w:ascii="Calibri" w:eastAsia="Times New Roman" w:hAnsi="Calibri" w:cs="Calibri"/>
                <w:color w:val="000000"/>
                <w:lang w:eastAsia="fr-FR"/>
              </w:rPr>
            </w:pPr>
            <w:proofErr w:type="spellStart"/>
            <w:r w:rsidRPr="0049225E">
              <w:rPr>
                <w:rFonts w:ascii="Calibri" w:eastAsia="Times New Roman" w:hAnsi="Calibri" w:cs="Calibri"/>
                <w:iCs/>
                <w:color w:val="000000"/>
                <w:lang w:val="en-GB" w:eastAsia="fr-FR"/>
              </w:rPr>
              <w:t>Caprins</w:t>
            </w:r>
            <w:proofErr w:type="spellEnd"/>
          </w:p>
        </w:tc>
        <w:tc>
          <w:tcPr>
            <w:tcW w:w="470" w:type="pct"/>
            <w:tcBorders>
              <w:top w:val="nil"/>
              <w:left w:val="nil"/>
              <w:bottom w:val="single" w:sz="8" w:space="0" w:color="auto"/>
              <w:right w:val="single" w:sz="8" w:space="0" w:color="auto"/>
            </w:tcBorders>
            <w:shd w:val="clear" w:color="auto" w:fill="auto"/>
            <w:vAlign w:val="center"/>
            <w:hideMark/>
          </w:tcPr>
          <w:p w14:paraId="4A829EA6" w14:textId="77777777" w:rsidR="0049225E" w:rsidRPr="0049225E" w:rsidRDefault="0049225E" w:rsidP="00547371">
            <w:pPr>
              <w:spacing w:after="0" w:line="240" w:lineRule="auto"/>
              <w:jc w:val="center"/>
              <w:rPr>
                <w:rFonts w:ascii="Calibri" w:eastAsia="Times New Roman" w:hAnsi="Calibri" w:cs="Calibri"/>
                <w:color w:val="000000"/>
                <w:lang w:eastAsia="fr-FR"/>
              </w:rPr>
            </w:pPr>
            <w:proofErr w:type="spellStart"/>
            <w:r w:rsidRPr="0049225E">
              <w:rPr>
                <w:rFonts w:ascii="Calibri" w:eastAsia="Times New Roman" w:hAnsi="Calibri" w:cs="Calibri"/>
                <w:iCs/>
                <w:color w:val="000000"/>
                <w:lang w:val="en-GB" w:eastAsia="fr-FR"/>
              </w:rPr>
              <w:t>Bovins</w:t>
            </w:r>
            <w:proofErr w:type="spellEnd"/>
          </w:p>
        </w:tc>
        <w:tc>
          <w:tcPr>
            <w:tcW w:w="324" w:type="pct"/>
            <w:tcBorders>
              <w:top w:val="nil"/>
              <w:left w:val="nil"/>
              <w:bottom w:val="single" w:sz="8" w:space="0" w:color="auto"/>
              <w:right w:val="single" w:sz="8" w:space="0" w:color="auto"/>
            </w:tcBorders>
            <w:shd w:val="clear" w:color="auto" w:fill="auto"/>
            <w:vAlign w:val="center"/>
            <w:hideMark/>
          </w:tcPr>
          <w:p w14:paraId="100D13A2" w14:textId="77777777" w:rsidR="0049225E" w:rsidRPr="0049225E" w:rsidRDefault="0049225E" w:rsidP="00547371">
            <w:pPr>
              <w:spacing w:after="0" w:line="240" w:lineRule="auto"/>
              <w:jc w:val="center"/>
              <w:rPr>
                <w:rFonts w:ascii="Calibri" w:eastAsia="Times New Roman" w:hAnsi="Calibri" w:cs="Calibri"/>
                <w:color w:val="000000"/>
                <w:lang w:eastAsia="fr-FR"/>
              </w:rPr>
            </w:pPr>
            <w:proofErr w:type="spellStart"/>
            <w:r w:rsidRPr="0049225E">
              <w:rPr>
                <w:rFonts w:ascii="Calibri" w:eastAsia="Times New Roman" w:hAnsi="Calibri" w:cs="Calibri"/>
                <w:iCs/>
                <w:color w:val="000000"/>
                <w:lang w:val="en-GB" w:eastAsia="fr-FR"/>
              </w:rPr>
              <w:t>Ovins</w:t>
            </w:r>
            <w:proofErr w:type="spellEnd"/>
          </w:p>
        </w:tc>
        <w:tc>
          <w:tcPr>
            <w:tcW w:w="410" w:type="pct"/>
            <w:tcBorders>
              <w:top w:val="nil"/>
              <w:left w:val="nil"/>
              <w:bottom w:val="single" w:sz="8" w:space="0" w:color="auto"/>
              <w:right w:val="single" w:sz="8" w:space="0" w:color="auto"/>
            </w:tcBorders>
            <w:shd w:val="clear" w:color="auto" w:fill="auto"/>
            <w:vAlign w:val="center"/>
            <w:hideMark/>
          </w:tcPr>
          <w:p w14:paraId="60B6F2B6" w14:textId="77777777" w:rsidR="0049225E" w:rsidRPr="0049225E" w:rsidRDefault="0049225E" w:rsidP="00547371">
            <w:pPr>
              <w:spacing w:after="0" w:line="240" w:lineRule="auto"/>
              <w:jc w:val="center"/>
              <w:rPr>
                <w:rFonts w:ascii="Calibri" w:eastAsia="Times New Roman" w:hAnsi="Calibri" w:cs="Calibri"/>
                <w:color w:val="000000"/>
                <w:lang w:eastAsia="fr-FR"/>
              </w:rPr>
            </w:pPr>
            <w:proofErr w:type="spellStart"/>
            <w:r w:rsidRPr="0049225E">
              <w:rPr>
                <w:rFonts w:ascii="Calibri" w:eastAsia="Times New Roman" w:hAnsi="Calibri" w:cs="Calibri"/>
                <w:iCs/>
                <w:color w:val="000000"/>
                <w:lang w:val="en-GB" w:eastAsia="fr-FR"/>
              </w:rPr>
              <w:t>Caprins</w:t>
            </w:r>
            <w:proofErr w:type="spellEnd"/>
          </w:p>
        </w:tc>
      </w:tr>
    </w:tbl>
    <w:p w14:paraId="247A0C77" w14:textId="77777777" w:rsidR="00547371" w:rsidRDefault="00547371" w:rsidP="00A0225C"/>
    <w:p w14:paraId="7F2AF45C" w14:textId="76017355" w:rsidR="0049225E" w:rsidRPr="00F94056" w:rsidRDefault="0049225E" w:rsidP="00F94056">
      <w:pPr>
        <w:jc w:val="both"/>
      </w:pPr>
      <w:r w:rsidRPr="00F94056">
        <w:t xml:space="preserve">Pour nous assurer de la pertinence de nos outils de collecte de données, notamment </w:t>
      </w:r>
      <w:r w:rsidR="00547371" w:rsidRPr="00F94056">
        <w:t>à propos d</w:t>
      </w:r>
      <w:r w:rsidRPr="00F94056">
        <w:t xml:space="preserve">es cartes de paiement </w:t>
      </w:r>
      <w:r w:rsidR="00547371" w:rsidRPr="00F94056">
        <w:t>choisi</w:t>
      </w:r>
      <w:r w:rsidRPr="00F94056">
        <w:t>s pour le de la méthode d’évaluation contingente</w:t>
      </w:r>
      <w:r w:rsidR="00547371" w:rsidRPr="00F94056">
        <w:t xml:space="preserve"> et des communes et départements qui doivent faire partie de la base de sondage, nous avons invité les éleveurs et la CNAAS à un atelier de travail pour la validation des outils. La méthodologie, fut présenté lors de cet atelier ainsi que le questionnaire. Ils furent discutés et corrigé pour prendre en compte les préoccupations des différentes parties prenantes et le contexte du terrain. Enfin, les départements et communes pertinents pour faire partie de l’étude, selon l’objectif de la CNAAS et les zones d’élevages pastorales et agro-pastorales exposés aux risques de sécheresse furent identifiés en passant en revue toutes les communes de la zone agro-</w:t>
      </w:r>
      <w:proofErr w:type="spellStart"/>
      <w:r w:rsidR="00547371" w:rsidRPr="00F94056">
        <w:t>sylvo</w:t>
      </w:r>
      <w:proofErr w:type="spellEnd"/>
      <w:r w:rsidR="00547371" w:rsidRPr="00F94056">
        <w:t xml:space="preserve">-pastorale. L’annexe 2 donne la liste des communes et villages qui ont été retenues pour l’enquête sur la base de ce travail. </w:t>
      </w:r>
    </w:p>
    <w:p w14:paraId="61A99862" w14:textId="7B427275" w:rsidR="006353B3" w:rsidRPr="00F94056" w:rsidRDefault="006353B3" w:rsidP="0056146E">
      <w:pPr>
        <w:pStyle w:val="Titre2"/>
        <w:numPr>
          <w:ilvl w:val="0"/>
          <w:numId w:val="27"/>
        </w:numPr>
        <w:jc w:val="both"/>
      </w:pPr>
      <w:bookmarkStart w:id="50" w:name="_Toc17840329"/>
      <w:r w:rsidRPr="00F94056">
        <w:lastRenderedPageBreak/>
        <w:t>Collecte des données</w:t>
      </w:r>
      <w:bookmarkEnd w:id="50"/>
    </w:p>
    <w:p w14:paraId="3F2DF148" w14:textId="0398226E" w:rsidR="0049225E" w:rsidRPr="00F94056" w:rsidRDefault="00547371" w:rsidP="00F94056">
      <w:pPr>
        <w:jc w:val="both"/>
      </w:pPr>
      <w:r w:rsidRPr="00F94056">
        <w:t>N</w:t>
      </w:r>
      <w:r w:rsidR="0049225E" w:rsidRPr="00F94056">
        <w:t>otre collecte de données a été effectuée en procédant d’abord au recrute</w:t>
      </w:r>
      <w:r w:rsidR="00A317EF" w:rsidRPr="00F94056">
        <w:t>ment et à la formation des enquêteurs, puis à leur mobilisation sur le terrain pendant une durée de 6 jours</w:t>
      </w:r>
      <w:r w:rsidR="00123779">
        <w:t xml:space="preserve">. Ensuite nous avons procédé à un </w:t>
      </w:r>
      <w:r w:rsidR="00A317EF" w:rsidRPr="00F94056">
        <w:t xml:space="preserve">contrôle effectué à distance sur la base des données remontées </w:t>
      </w:r>
      <w:proofErr w:type="spellStart"/>
      <w:r w:rsidR="00A317EF" w:rsidRPr="00F94056">
        <w:t>journalièrement</w:t>
      </w:r>
      <w:proofErr w:type="spellEnd"/>
      <w:r w:rsidR="00A317EF" w:rsidRPr="00F94056">
        <w:t xml:space="preserve"> et des coordonnées GPS recueillies automatiquement </w:t>
      </w:r>
    </w:p>
    <w:p w14:paraId="4247D226" w14:textId="187791B6" w:rsidR="006353B3" w:rsidRPr="00F94056" w:rsidRDefault="00072566" w:rsidP="0056146E">
      <w:pPr>
        <w:pStyle w:val="Titre3"/>
        <w:numPr>
          <w:ilvl w:val="0"/>
          <w:numId w:val="2"/>
        </w:numPr>
        <w:jc w:val="both"/>
      </w:pPr>
      <w:bookmarkStart w:id="51" w:name="_Toc17840330"/>
      <w:r w:rsidRPr="00F94056">
        <w:t>Formation et déploiement des enquêteurs</w:t>
      </w:r>
      <w:bookmarkEnd w:id="51"/>
    </w:p>
    <w:p w14:paraId="3E1DB5E1" w14:textId="752200D4" w:rsidR="00A317EF" w:rsidRPr="00F94056" w:rsidRDefault="00A317EF" w:rsidP="009347E9">
      <w:pPr>
        <w:spacing w:after="0"/>
        <w:jc w:val="both"/>
      </w:pPr>
      <w:r w:rsidRPr="00F94056">
        <w:t xml:space="preserve">D’abord pour le recrutement des enquêteurs, nous avons identifiés un groupe de 12 enquêteurs qui présentent </w:t>
      </w:r>
      <w:r w:rsidR="00FF0F9B" w:rsidRPr="00F94056">
        <w:t>les caractéristiques suivantes</w:t>
      </w:r>
      <w:r w:rsidRPr="00F94056">
        <w:t> :</w:t>
      </w:r>
    </w:p>
    <w:p w14:paraId="27971E2B" w14:textId="11AA2E7A" w:rsidR="00A317EF" w:rsidRPr="00F94056" w:rsidRDefault="00FF0F9B" w:rsidP="0056146E">
      <w:pPr>
        <w:pStyle w:val="Paragraphedeliste"/>
        <w:numPr>
          <w:ilvl w:val="0"/>
          <w:numId w:val="5"/>
        </w:numPr>
        <w:spacing w:after="0"/>
        <w:jc w:val="both"/>
      </w:pPr>
      <w:r w:rsidRPr="00F94056">
        <w:t xml:space="preserve">Chacun d’entre eux avaient une expérience de 7 ans </w:t>
      </w:r>
      <w:r w:rsidR="009E68DD">
        <w:t xml:space="preserve">au moins </w:t>
      </w:r>
      <w:r w:rsidRPr="00F94056">
        <w:t>dans les enquêtes</w:t>
      </w:r>
      <w:r w:rsidR="009E68DD">
        <w:t> ;</w:t>
      </w:r>
    </w:p>
    <w:p w14:paraId="2D7B6247" w14:textId="5B7633FD" w:rsidR="00FF0F9B" w:rsidRPr="00F94056" w:rsidRDefault="00FF0F9B" w:rsidP="0056146E">
      <w:pPr>
        <w:pStyle w:val="Paragraphedeliste"/>
        <w:numPr>
          <w:ilvl w:val="0"/>
          <w:numId w:val="5"/>
        </w:numPr>
        <w:spacing w:after="0"/>
        <w:jc w:val="both"/>
      </w:pPr>
      <w:r w:rsidRPr="00F94056">
        <w:t>Chacun parlait correctement la version du peulh la plus répandue dans la zone</w:t>
      </w:r>
      <w:r w:rsidR="009E68DD">
        <w:t> ;</w:t>
      </w:r>
    </w:p>
    <w:p w14:paraId="094B1B5D" w14:textId="48C5A608" w:rsidR="00FF0F9B" w:rsidRDefault="00FF0F9B" w:rsidP="0056146E">
      <w:pPr>
        <w:pStyle w:val="Paragraphedeliste"/>
        <w:numPr>
          <w:ilvl w:val="0"/>
          <w:numId w:val="5"/>
        </w:numPr>
        <w:spacing w:after="0"/>
        <w:jc w:val="both"/>
      </w:pPr>
      <w:r w:rsidRPr="00F94056">
        <w:t>Chacun était de l’ethnie peulh presque à 100% de sorte à être capable d’établir une relation de confiance avec la personne enquêtée</w:t>
      </w:r>
      <w:r w:rsidR="009E68DD">
        <w:t> ;</w:t>
      </w:r>
    </w:p>
    <w:p w14:paraId="617F6515" w14:textId="1F28E199" w:rsidR="009E68DD" w:rsidRPr="00F94056" w:rsidRDefault="009E68DD" w:rsidP="0056146E">
      <w:pPr>
        <w:pStyle w:val="Paragraphedeliste"/>
        <w:numPr>
          <w:ilvl w:val="0"/>
          <w:numId w:val="5"/>
        </w:numPr>
        <w:spacing w:after="0"/>
        <w:jc w:val="both"/>
      </w:pPr>
      <w:r>
        <w:t>Chacun avait déjà effectué au moins une enquête en milieu pastoral et lors de laquelle des questions sur la taille du cheptel ont été posées.</w:t>
      </w:r>
    </w:p>
    <w:p w14:paraId="1D87CF0F" w14:textId="77777777" w:rsidR="009347E9" w:rsidRPr="00A42677" w:rsidRDefault="009E130A" w:rsidP="009347E9">
      <w:pPr>
        <w:spacing w:after="0"/>
        <w:jc w:val="both"/>
        <w:rPr>
          <w:rFonts w:cstheme="minorHAnsi"/>
        </w:rPr>
      </w:pPr>
      <w:r w:rsidRPr="00F94056">
        <w:t xml:space="preserve">Après le recrutement des enquêteurs, nous avons procédé à leur formation sur une période de deux jours. Durant ces deux jours, nous avons partagé avec eux l’objectif de l’étude, </w:t>
      </w:r>
      <w:r w:rsidR="009E68DD">
        <w:t xml:space="preserve">le principe de l’assurance agricole indicielle, </w:t>
      </w:r>
      <w:r w:rsidRPr="00F94056">
        <w:t xml:space="preserve">sa méthodologie en termes d’évaluation contingente du consentement à payer et de l’identification de la personne à enquêter dans le ménage après avoir identifié le ménage à enquêter. Le questionnaire fut converti en application de collecte de données ou questionnaire électronique. Cette application fut </w:t>
      </w:r>
      <w:r w:rsidR="00D801C2" w:rsidRPr="00F94056">
        <w:t>testée</w:t>
      </w:r>
      <w:r w:rsidRPr="00F94056">
        <w:t xml:space="preserve"> lors de la dernière journée de formation à travers des exercices d’enquêtes simulés qui ont également permis de traduire toute les questions en langue peulh de manière orale. Cette exercice </w:t>
      </w:r>
      <w:r w:rsidR="009347E9" w:rsidRPr="00F94056">
        <w:t>a</w:t>
      </w:r>
      <w:r w:rsidR="00536871" w:rsidRPr="00F94056">
        <w:t xml:space="preserve"> permis d’harmoniser </w:t>
      </w:r>
      <w:r w:rsidR="00D801C2" w:rsidRPr="00F94056">
        <w:t>les compréhensions</w:t>
      </w:r>
      <w:r w:rsidR="00536871" w:rsidRPr="00F94056">
        <w:t xml:space="preserve"> des questions entre les enquêteurs pour réduire le risque </w:t>
      </w:r>
      <w:r w:rsidR="007A5BB3">
        <w:t xml:space="preserve">de </w:t>
      </w:r>
      <w:r w:rsidR="009347E9">
        <w:t>divergence</w:t>
      </w:r>
      <w:r w:rsidR="00D801C2" w:rsidRPr="00F94056">
        <w:t xml:space="preserve"> dans les explications données aux éleveurs.</w:t>
      </w:r>
      <w:r w:rsidRPr="00F94056">
        <w:t xml:space="preserve"> </w:t>
      </w:r>
      <w:r w:rsidR="009347E9" w:rsidRPr="00A42677">
        <w:rPr>
          <w:rFonts w:cstheme="minorHAnsi"/>
        </w:rPr>
        <w:t xml:space="preserve">Les étapes de la formation se déclinent comme suit : </w:t>
      </w:r>
    </w:p>
    <w:p w14:paraId="7E1F3EB9" w14:textId="7A38A0FC" w:rsidR="009347E9" w:rsidRPr="00A42677" w:rsidRDefault="009347E9" w:rsidP="0056146E">
      <w:pPr>
        <w:pStyle w:val="Paragraphedeliste"/>
        <w:numPr>
          <w:ilvl w:val="0"/>
          <w:numId w:val="26"/>
        </w:numPr>
        <w:spacing w:after="0" w:line="360" w:lineRule="auto"/>
        <w:jc w:val="both"/>
        <w:rPr>
          <w:rFonts w:cstheme="minorHAnsi"/>
        </w:rPr>
      </w:pPr>
      <w:r w:rsidRPr="00A42677">
        <w:rPr>
          <w:rFonts w:cstheme="minorHAnsi"/>
        </w:rPr>
        <w:t>Explication détaillée des aspects m</w:t>
      </w:r>
      <w:r>
        <w:rPr>
          <w:rFonts w:cstheme="minorHAnsi"/>
        </w:rPr>
        <w:t>éthodologiques ;</w:t>
      </w:r>
    </w:p>
    <w:p w14:paraId="0FB63BF7" w14:textId="2B05245B" w:rsidR="009347E9" w:rsidRPr="00A42677" w:rsidRDefault="009347E9" w:rsidP="0056146E">
      <w:pPr>
        <w:pStyle w:val="Paragraphedeliste"/>
        <w:numPr>
          <w:ilvl w:val="0"/>
          <w:numId w:val="26"/>
        </w:numPr>
        <w:spacing w:after="0" w:line="360" w:lineRule="auto"/>
        <w:jc w:val="both"/>
        <w:rPr>
          <w:rFonts w:cstheme="minorHAnsi"/>
        </w:rPr>
      </w:pPr>
      <w:r w:rsidRPr="00A42677">
        <w:rPr>
          <w:rFonts w:cstheme="minorHAnsi"/>
        </w:rPr>
        <w:t>Présentation des objectifs du sondage</w:t>
      </w:r>
      <w:r>
        <w:rPr>
          <w:rFonts w:cstheme="minorHAnsi"/>
        </w:rPr>
        <w:t> ;</w:t>
      </w:r>
    </w:p>
    <w:p w14:paraId="5D2736D7" w14:textId="79F31B6A" w:rsidR="009347E9" w:rsidRPr="00A42677" w:rsidRDefault="009347E9" w:rsidP="0056146E">
      <w:pPr>
        <w:pStyle w:val="Paragraphedeliste"/>
        <w:numPr>
          <w:ilvl w:val="0"/>
          <w:numId w:val="26"/>
        </w:numPr>
        <w:spacing w:after="0" w:line="360" w:lineRule="auto"/>
        <w:jc w:val="both"/>
        <w:rPr>
          <w:rFonts w:cstheme="minorHAnsi"/>
        </w:rPr>
      </w:pPr>
      <w:r w:rsidRPr="00A42677">
        <w:rPr>
          <w:rFonts w:cstheme="minorHAnsi"/>
        </w:rPr>
        <w:t>Lecture silencieuse du questionnaire papier</w:t>
      </w:r>
      <w:r>
        <w:rPr>
          <w:rFonts w:cstheme="minorHAnsi"/>
        </w:rPr>
        <w:t xml:space="preserve"> « Enquêtez-vous vous-même » : d</w:t>
      </w:r>
      <w:r w:rsidRPr="00A42677">
        <w:rPr>
          <w:rFonts w:cstheme="minorHAnsi"/>
        </w:rPr>
        <w:t>ans cet exercice les agents, tout en lisant le questionnaire, jouent à la fois le rôle de l'enquêteur et de l'enquêté. Cet exercice pédagogique permet aux enquêteurs de se poser déjà différentes questions avant même la lectu</w:t>
      </w:r>
      <w:r>
        <w:rPr>
          <w:rFonts w:cstheme="minorHAnsi"/>
        </w:rPr>
        <w:t>re en plénière du questionnaire ;</w:t>
      </w:r>
    </w:p>
    <w:p w14:paraId="446FB437" w14:textId="1DF8C52E" w:rsidR="009347E9" w:rsidRPr="00A42677" w:rsidRDefault="009347E9" w:rsidP="0056146E">
      <w:pPr>
        <w:pStyle w:val="Paragraphedeliste"/>
        <w:numPr>
          <w:ilvl w:val="0"/>
          <w:numId w:val="26"/>
        </w:numPr>
        <w:spacing w:after="0" w:line="360" w:lineRule="auto"/>
        <w:jc w:val="both"/>
        <w:rPr>
          <w:rFonts w:cstheme="minorHAnsi"/>
        </w:rPr>
      </w:pPr>
      <w:r w:rsidRPr="00A42677">
        <w:rPr>
          <w:rFonts w:cstheme="minorHAnsi"/>
        </w:rPr>
        <w:t>Lecture du questionnaire, question par question</w:t>
      </w:r>
      <w:r>
        <w:rPr>
          <w:rFonts w:cstheme="minorHAnsi"/>
        </w:rPr>
        <w:t> ;</w:t>
      </w:r>
    </w:p>
    <w:p w14:paraId="0C618138" w14:textId="0851D36C" w:rsidR="009347E9" w:rsidRPr="00A42677" w:rsidRDefault="009347E9" w:rsidP="0056146E">
      <w:pPr>
        <w:pStyle w:val="Paragraphedeliste"/>
        <w:numPr>
          <w:ilvl w:val="0"/>
          <w:numId w:val="26"/>
        </w:numPr>
        <w:spacing w:after="0" w:line="360" w:lineRule="auto"/>
        <w:jc w:val="both"/>
        <w:rPr>
          <w:rFonts w:cstheme="minorHAnsi"/>
        </w:rPr>
      </w:pPr>
      <w:r w:rsidRPr="00A42677">
        <w:rPr>
          <w:rFonts w:cstheme="minorHAnsi"/>
        </w:rPr>
        <w:t>Formation des enquêteurs sur les Smartphones et sur l'application de collecte</w:t>
      </w:r>
      <w:r>
        <w:rPr>
          <w:rFonts w:cstheme="minorHAnsi"/>
        </w:rPr>
        <w:t> ;</w:t>
      </w:r>
    </w:p>
    <w:p w14:paraId="13A6EFA7" w14:textId="1FC0C7E1" w:rsidR="009347E9" w:rsidRPr="00A42677" w:rsidRDefault="009347E9" w:rsidP="0056146E">
      <w:pPr>
        <w:pStyle w:val="Paragraphedeliste"/>
        <w:numPr>
          <w:ilvl w:val="0"/>
          <w:numId w:val="26"/>
        </w:numPr>
        <w:spacing w:after="0" w:line="360" w:lineRule="auto"/>
        <w:jc w:val="both"/>
        <w:rPr>
          <w:rFonts w:cstheme="minorHAnsi"/>
        </w:rPr>
      </w:pPr>
      <w:r w:rsidRPr="00A42677">
        <w:rPr>
          <w:rFonts w:cstheme="minorHAnsi"/>
        </w:rPr>
        <w:t xml:space="preserve">Traduction du questionnaire dans la </w:t>
      </w:r>
      <w:r>
        <w:rPr>
          <w:rFonts w:cstheme="minorHAnsi"/>
        </w:rPr>
        <w:t>langue locale (</w:t>
      </w:r>
      <w:proofErr w:type="spellStart"/>
      <w:r>
        <w:rPr>
          <w:rFonts w:cstheme="minorHAnsi"/>
        </w:rPr>
        <w:t>Pulaar</w:t>
      </w:r>
      <w:proofErr w:type="spellEnd"/>
      <w:r>
        <w:rPr>
          <w:rFonts w:cstheme="minorHAnsi"/>
        </w:rPr>
        <w:t>) ;</w:t>
      </w:r>
    </w:p>
    <w:p w14:paraId="50E90901" w14:textId="751F4B92" w:rsidR="00FF0F9B" w:rsidRPr="009347E9" w:rsidRDefault="009347E9" w:rsidP="0056146E">
      <w:pPr>
        <w:pStyle w:val="Paragraphedeliste"/>
        <w:numPr>
          <w:ilvl w:val="0"/>
          <w:numId w:val="26"/>
        </w:numPr>
        <w:spacing w:after="0" w:line="360" w:lineRule="auto"/>
        <w:jc w:val="both"/>
        <w:rPr>
          <w:rFonts w:cstheme="minorHAnsi"/>
        </w:rPr>
      </w:pPr>
      <w:r w:rsidRPr="00A42677">
        <w:rPr>
          <w:rFonts w:cstheme="minorHAnsi"/>
        </w:rPr>
        <w:t>Enquête binôme : lors de cet exercice les enquêteurs seront mis en binôme ; un agent joue le rôle de l'enquêteur et l'autre joue le rôle de l'enquêté</w:t>
      </w:r>
      <w:r>
        <w:rPr>
          <w:rFonts w:cstheme="minorHAnsi"/>
        </w:rPr>
        <w:t>. Ensuite les rôles s'inversent.</w:t>
      </w:r>
    </w:p>
    <w:p w14:paraId="5855E0E2" w14:textId="0B694FAC" w:rsidR="00FA6424" w:rsidRPr="00F94056" w:rsidRDefault="00856DED" w:rsidP="0056146E">
      <w:pPr>
        <w:pStyle w:val="Titre3"/>
        <w:numPr>
          <w:ilvl w:val="0"/>
          <w:numId w:val="2"/>
        </w:numPr>
        <w:jc w:val="both"/>
      </w:pPr>
      <w:bookmarkStart w:id="52" w:name="_Toc17840331"/>
      <w:r w:rsidRPr="00F94056">
        <w:t xml:space="preserve">Coordination </w:t>
      </w:r>
      <w:r w:rsidR="00D801C2" w:rsidRPr="00F94056">
        <w:t xml:space="preserve">des enquêtes </w:t>
      </w:r>
      <w:r w:rsidRPr="00F94056">
        <w:t>et contrôle</w:t>
      </w:r>
      <w:r w:rsidR="00072566" w:rsidRPr="00F94056">
        <w:t xml:space="preserve"> des données</w:t>
      </w:r>
      <w:bookmarkEnd w:id="52"/>
    </w:p>
    <w:p w14:paraId="012E8821" w14:textId="5BEEFDB2" w:rsidR="00D801C2" w:rsidRPr="00F94056" w:rsidRDefault="00AC3C55" w:rsidP="00F94056">
      <w:pPr>
        <w:jc w:val="both"/>
      </w:pPr>
      <w:r w:rsidRPr="00F94056">
        <w:t>Après la formation, les équipes furent divisées en groupe de 4 person</w:t>
      </w:r>
      <w:r w:rsidR="007A5BB3">
        <w:t>nes. Dans chaque équipe, il y avait trois</w:t>
      </w:r>
      <w:r w:rsidRPr="00F94056">
        <w:t xml:space="preserve"> enquêteurs et un superviseur chargé de coordonner les actions de l’équipe et de faire un compte rendu régulier de la situation du terrain avec le coordonnateur de l’étude et le statisticien qui sont basés à Dakar. </w:t>
      </w:r>
      <w:r w:rsidR="007A5BB3">
        <w:t xml:space="preserve">Comme 15 commune ont été choisies pour faire l’objet des enquêtes, elles furent divisées en trois, à raisons de 5 communes à enquêter par équipe. </w:t>
      </w:r>
      <w:r w:rsidRPr="00F94056">
        <w:t xml:space="preserve">Pour donner à chaque équipe une liberté dans ses déplacements, il a été </w:t>
      </w:r>
      <w:r w:rsidR="007A5BB3">
        <w:t>mis à la disposition de chacune d’elle</w:t>
      </w:r>
      <w:r w:rsidRPr="00F94056">
        <w:t xml:space="preserve"> un véhicule avec un </w:t>
      </w:r>
      <w:r w:rsidRPr="00F94056">
        <w:lastRenderedPageBreak/>
        <w:t>chauffeur. Des ordres de missions et lettre d’introduction à présenter aux autorités locales furent également mis à leur disposition pour faciliter leur premier contact avec la population locale et avoir des éléments de gage de leur bonne foi.</w:t>
      </w:r>
    </w:p>
    <w:p w14:paraId="7D95A321" w14:textId="6142DCC0" w:rsidR="00BD052C" w:rsidRPr="00A42677" w:rsidRDefault="00AC3C55" w:rsidP="00BD052C">
      <w:pPr>
        <w:jc w:val="both"/>
        <w:rPr>
          <w:rFonts w:cstheme="minorHAnsi"/>
        </w:rPr>
      </w:pPr>
      <w:r w:rsidRPr="00F94056">
        <w:t>Le superviseur de l’équipe était chargé d</w:t>
      </w:r>
      <w:r w:rsidR="00F94056" w:rsidRPr="00F94056">
        <w:t>e remonter auprès du statisticien responsable de l’étude et du coordonnateur de celle-ci, toutes difficultés ou questions identifiées dans l’exécution de l’enquête par leur équipe. Le statisticien de l’équipe s’</w:t>
      </w:r>
      <w:r w:rsidR="007A5BB3">
        <w:t>est assuré</w:t>
      </w:r>
      <w:r w:rsidR="00F94056" w:rsidRPr="00F94056">
        <w:t xml:space="preserve"> de la remontée journalière des données et sur la base de celle-ci, il débriefait les superviseurs sur la qual</w:t>
      </w:r>
      <w:r w:rsidR="007A5BB3">
        <w:t xml:space="preserve">ité des données </w:t>
      </w:r>
      <w:r w:rsidR="00F94056" w:rsidRPr="00F94056">
        <w:t xml:space="preserve">collectées. </w:t>
      </w:r>
      <w:r w:rsidR="00E45D80" w:rsidRPr="00A42677">
        <w:rPr>
          <w:rFonts w:cstheme="minorHAnsi"/>
        </w:rPr>
        <w:t>La remontée des données saisies à travers les tablettes s’est faite via Internet vers une plateforme web mise en place à cet effe</w:t>
      </w:r>
      <w:r w:rsidR="00E45D80">
        <w:rPr>
          <w:rFonts w:cstheme="minorHAnsi"/>
        </w:rPr>
        <w:t>t. La technologie que nous avons</w:t>
      </w:r>
      <w:r w:rsidR="00E45D80" w:rsidRPr="00A42677">
        <w:rPr>
          <w:rFonts w:cstheme="minorHAnsi"/>
        </w:rPr>
        <w:t xml:space="preserve"> utilisé</w:t>
      </w:r>
      <w:r w:rsidR="00E45D80">
        <w:rPr>
          <w:rFonts w:cstheme="minorHAnsi"/>
        </w:rPr>
        <w:t>e</w:t>
      </w:r>
      <w:r w:rsidR="00E45D80" w:rsidRPr="00A42677">
        <w:rPr>
          <w:rFonts w:cstheme="minorHAnsi"/>
        </w:rPr>
        <w:t xml:space="preserve"> pour la collecte des données mobiles s’appelle </w:t>
      </w:r>
      <w:r w:rsidR="00E45D80" w:rsidRPr="00E45D80">
        <w:rPr>
          <w:rFonts w:cstheme="minorHAnsi"/>
          <w:i/>
        </w:rPr>
        <w:t xml:space="preserve">ODK </w:t>
      </w:r>
      <w:proofErr w:type="spellStart"/>
      <w:r w:rsidR="00E45D80" w:rsidRPr="00E45D80">
        <w:rPr>
          <w:rFonts w:cstheme="minorHAnsi"/>
          <w:i/>
        </w:rPr>
        <w:t>collect</w:t>
      </w:r>
      <w:proofErr w:type="spellEnd"/>
      <w:r w:rsidR="00E45D80">
        <w:rPr>
          <w:rFonts w:cstheme="minorHAnsi"/>
        </w:rPr>
        <w:t>. C’est</w:t>
      </w:r>
      <w:r w:rsidR="00E45D80" w:rsidRPr="00A42677">
        <w:rPr>
          <w:rFonts w:cstheme="minorHAnsi"/>
        </w:rPr>
        <w:t xml:space="preserve"> une suite d'outils permettant de collecter des données à l'aide d'appareils mobiles de type smartphone et/ou tablette (tournant sous Android) et de soumettre ces mêmes données sur un serveur en ligne. </w:t>
      </w:r>
    </w:p>
    <w:p w14:paraId="437FE4D1" w14:textId="1FCBD161" w:rsidR="00831066" w:rsidRDefault="00BD052C" w:rsidP="007E6FD6">
      <w:pPr>
        <w:jc w:val="both"/>
        <w:rPr>
          <w:rFonts w:cstheme="minorHAnsi"/>
        </w:rPr>
      </w:pPr>
      <w:r w:rsidRPr="00A42677">
        <w:rPr>
          <w:rFonts w:cstheme="minorHAnsi"/>
        </w:rPr>
        <w:t>Les contrôles sur l’application permettaient d’identifier les informations invraisemblables.</w:t>
      </w:r>
      <w:r>
        <w:rPr>
          <w:rFonts w:cstheme="minorHAnsi"/>
        </w:rPr>
        <w:t xml:space="preserve"> </w:t>
      </w:r>
      <w:r w:rsidR="00831066" w:rsidRPr="00A42677">
        <w:rPr>
          <w:rFonts w:cstheme="minorHAnsi"/>
        </w:rPr>
        <w:t xml:space="preserve">Le contrôle des données s’est fait à plusieurs niveaux, d’abord au niveau de l’application de collecte, il a été intégré un certain nombre de contrôles portant sur la limite de la plage des variables quantitatives, sur les filtres, ... Ensuite avant l’envoi des données, les superviseurs ont parcouru tous les questionnaires avec les enquêteurs pour s’assurer de la qualité des réponses (exhaustivité, cohérence). Enfin, le contrôle de qualité a consisté également à procéder aux contrôles de structure et de cohérence puis à l'apurement et à la correction des fichiers de données à l’aide de STATA. </w:t>
      </w:r>
      <w:r w:rsidR="00831066">
        <w:rPr>
          <w:rFonts w:cstheme="minorHAnsi"/>
        </w:rPr>
        <w:t>Il est également à noter</w:t>
      </w:r>
      <w:r w:rsidR="00831066" w:rsidRPr="00A42677">
        <w:rPr>
          <w:rFonts w:cstheme="minorHAnsi"/>
        </w:rPr>
        <w:t xml:space="preserve"> que les coordonnées GPS ont permis de vérifier les villages et communes choisis sont réellement</w:t>
      </w:r>
      <w:r w:rsidR="00831066">
        <w:rPr>
          <w:rFonts w:cstheme="minorHAnsi"/>
        </w:rPr>
        <w:t xml:space="preserve"> ceux</w:t>
      </w:r>
      <w:r w:rsidR="00831066" w:rsidRPr="00A42677">
        <w:rPr>
          <w:rFonts w:cstheme="minorHAnsi"/>
        </w:rPr>
        <w:t xml:space="preserve"> couverts</w:t>
      </w:r>
      <w:r w:rsidR="00831066">
        <w:rPr>
          <w:rFonts w:cstheme="minorHAnsi"/>
        </w:rPr>
        <w:t xml:space="preserve"> sur le terrain</w:t>
      </w:r>
      <w:r w:rsidR="00831066" w:rsidRPr="00A42677">
        <w:rPr>
          <w:rFonts w:cstheme="minorHAnsi"/>
        </w:rPr>
        <w:t>.</w:t>
      </w:r>
    </w:p>
    <w:p w14:paraId="33009289" w14:textId="594799C7" w:rsidR="002B0096" w:rsidRPr="00A42677" w:rsidRDefault="002B0096" w:rsidP="0056146E">
      <w:pPr>
        <w:pStyle w:val="Titre3"/>
        <w:numPr>
          <w:ilvl w:val="0"/>
          <w:numId w:val="2"/>
        </w:numPr>
      </w:pPr>
      <w:bookmarkStart w:id="53" w:name="_Toc17840332"/>
      <w:r w:rsidRPr="00A42677">
        <w:t>Présentation du questionnaire et bilan de la collecte de données</w:t>
      </w:r>
      <w:bookmarkEnd w:id="53"/>
    </w:p>
    <w:p w14:paraId="38025462" w14:textId="77777777" w:rsidR="002B0096" w:rsidRDefault="002B0096" w:rsidP="002B0096">
      <w:pPr>
        <w:jc w:val="both"/>
        <w:rPr>
          <w:rFonts w:cstheme="minorHAnsi"/>
        </w:rPr>
      </w:pPr>
      <w:r w:rsidRPr="009C0EAC">
        <w:rPr>
          <w:rFonts w:cstheme="minorHAnsi"/>
        </w:rPr>
        <w:t xml:space="preserve">Le questionnaire est l’instrument de collecte adéquat pour ce type d’enquête. Il </w:t>
      </w:r>
      <w:r>
        <w:rPr>
          <w:rFonts w:cstheme="minorHAnsi"/>
        </w:rPr>
        <w:t xml:space="preserve">a été élaboré </w:t>
      </w:r>
      <w:r w:rsidRPr="009C0EAC">
        <w:rPr>
          <w:rFonts w:cstheme="minorHAnsi"/>
        </w:rPr>
        <w:t>de manière à renseigner de</w:t>
      </w:r>
      <w:r>
        <w:rPr>
          <w:rFonts w:cstheme="minorHAnsi"/>
        </w:rPr>
        <w:t xml:space="preserve"> manière fiable les</w:t>
      </w:r>
      <w:r w:rsidRPr="009C0EAC">
        <w:rPr>
          <w:rFonts w:cstheme="minorHAnsi"/>
        </w:rPr>
        <w:t xml:space="preserve"> indicateur</w:t>
      </w:r>
      <w:r>
        <w:rPr>
          <w:rFonts w:cstheme="minorHAnsi"/>
        </w:rPr>
        <w:t xml:space="preserve">s de résultat (cf. annexe). Le questionnaire </w:t>
      </w:r>
      <w:r w:rsidRPr="009C0EAC">
        <w:rPr>
          <w:rFonts w:cstheme="minorHAnsi"/>
        </w:rPr>
        <w:t>est organisé sous forme de sections traitant chacune d’une thématique donnée. Ainsi dans le questionnaire on trouve</w:t>
      </w:r>
      <w:r>
        <w:rPr>
          <w:rFonts w:cstheme="minorHAnsi"/>
        </w:rPr>
        <w:t> :</w:t>
      </w:r>
    </w:p>
    <w:p w14:paraId="4C6BF96F" w14:textId="77777777" w:rsidR="002B0096" w:rsidRDefault="002B0096" w:rsidP="0056146E">
      <w:pPr>
        <w:pStyle w:val="Paragraphedeliste"/>
        <w:numPr>
          <w:ilvl w:val="0"/>
          <w:numId w:val="25"/>
        </w:numPr>
        <w:spacing w:line="360" w:lineRule="auto"/>
        <w:jc w:val="both"/>
        <w:rPr>
          <w:rFonts w:cstheme="minorHAnsi"/>
        </w:rPr>
      </w:pPr>
      <w:r w:rsidRPr="00070D70">
        <w:rPr>
          <w:rFonts w:cstheme="minorHAnsi"/>
        </w:rPr>
        <w:t>Identification du ménage du répondant</w:t>
      </w:r>
    </w:p>
    <w:p w14:paraId="654CFC40" w14:textId="77777777" w:rsidR="002B0096" w:rsidRDefault="002B0096" w:rsidP="0056146E">
      <w:pPr>
        <w:pStyle w:val="Paragraphedeliste"/>
        <w:numPr>
          <w:ilvl w:val="0"/>
          <w:numId w:val="25"/>
        </w:numPr>
        <w:spacing w:line="360" w:lineRule="auto"/>
        <w:jc w:val="both"/>
        <w:rPr>
          <w:rFonts w:cstheme="minorHAnsi"/>
        </w:rPr>
      </w:pPr>
      <w:r w:rsidRPr="00070D70">
        <w:rPr>
          <w:rFonts w:cstheme="minorHAnsi"/>
        </w:rPr>
        <w:t>Caractéristiques démographiques et conditions de vie du ménage</w:t>
      </w:r>
    </w:p>
    <w:p w14:paraId="557616CA" w14:textId="77777777" w:rsidR="002B0096" w:rsidRDefault="002B0096" w:rsidP="0056146E">
      <w:pPr>
        <w:pStyle w:val="Paragraphedeliste"/>
        <w:numPr>
          <w:ilvl w:val="0"/>
          <w:numId w:val="25"/>
        </w:numPr>
        <w:spacing w:line="360" w:lineRule="auto"/>
        <w:jc w:val="both"/>
        <w:rPr>
          <w:rFonts w:cstheme="minorHAnsi"/>
        </w:rPr>
      </w:pPr>
      <w:r w:rsidRPr="00070D70">
        <w:rPr>
          <w:rFonts w:cstheme="minorHAnsi"/>
        </w:rPr>
        <w:t>Chocs et stratégies d’adaptation</w:t>
      </w:r>
    </w:p>
    <w:p w14:paraId="2E5520AC" w14:textId="77777777" w:rsidR="002B0096" w:rsidRDefault="002B0096" w:rsidP="0056146E">
      <w:pPr>
        <w:pStyle w:val="Paragraphedeliste"/>
        <w:numPr>
          <w:ilvl w:val="0"/>
          <w:numId w:val="25"/>
        </w:numPr>
        <w:spacing w:line="360" w:lineRule="auto"/>
        <w:jc w:val="both"/>
        <w:rPr>
          <w:rFonts w:cstheme="minorHAnsi"/>
        </w:rPr>
      </w:pPr>
      <w:r w:rsidRPr="00070D70">
        <w:rPr>
          <w:rFonts w:cstheme="minorHAnsi"/>
        </w:rPr>
        <w:t>Investissement et revenu tiré de l’élevage</w:t>
      </w:r>
    </w:p>
    <w:p w14:paraId="12D31F6F" w14:textId="77777777" w:rsidR="002B0096" w:rsidRDefault="002B0096" w:rsidP="0056146E">
      <w:pPr>
        <w:pStyle w:val="Paragraphedeliste"/>
        <w:numPr>
          <w:ilvl w:val="0"/>
          <w:numId w:val="25"/>
        </w:numPr>
        <w:spacing w:line="360" w:lineRule="auto"/>
        <w:jc w:val="both"/>
        <w:rPr>
          <w:rFonts w:cstheme="minorHAnsi"/>
        </w:rPr>
      </w:pPr>
      <w:r w:rsidRPr="00070D70">
        <w:rPr>
          <w:rFonts w:cstheme="minorHAnsi"/>
        </w:rPr>
        <w:t>Perception de l’assurance et attente vis-à-vis de celle-ci</w:t>
      </w:r>
    </w:p>
    <w:p w14:paraId="48699A99" w14:textId="77777777" w:rsidR="002B0096" w:rsidRDefault="002B0096" w:rsidP="0056146E">
      <w:pPr>
        <w:pStyle w:val="Paragraphedeliste"/>
        <w:numPr>
          <w:ilvl w:val="0"/>
          <w:numId w:val="25"/>
        </w:numPr>
        <w:spacing w:line="360" w:lineRule="auto"/>
        <w:jc w:val="both"/>
        <w:rPr>
          <w:rFonts w:cstheme="minorHAnsi"/>
        </w:rPr>
      </w:pPr>
      <w:r w:rsidRPr="00070D70">
        <w:rPr>
          <w:rFonts w:cstheme="minorHAnsi"/>
        </w:rPr>
        <w:t>Disposition à payer pour avoir l’assurance</w:t>
      </w:r>
    </w:p>
    <w:p w14:paraId="165CBF0B" w14:textId="77777777" w:rsidR="002B0096" w:rsidRDefault="002B0096" w:rsidP="0056146E">
      <w:pPr>
        <w:pStyle w:val="Paragraphedeliste"/>
        <w:numPr>
          <w:ilvl w:val="0"/>
          <w:numId w:val="25"/>
        </w:numPr>
        <w:spacing w:line="360" w:lineRule="auto"/>
        <w:jc w:val="both"/>
        <w:rPr>
          <w:rFonts w:cstheme="minorHAnsi"/>
        </w:rPr>
      </w:pPr>
      <w:r w:rsidRPr="00070D70">
        <w:rPr>
          <w:rFonts w:cstheme="minorHAnsi"/>
        </w:rPr>
        <w:t>Epargne, accès au crédit et résilience</w:t>
      </w:r>
    </w:p>
    <w:p w14:paraId="7F19CC34" w14:textId="77777777" w:rsidR="002B0096" w:rsidRPr="00F9588C" w:rsidRDefault="002B0096" w:rsidP="0056146E">
      <w:pPr>
        <w:pStyle w:val="Paragraphedeliste"/>
        <w:numPr>
          <w:ilvl w:val="0"/>
          <w:numId w:val="25"/>
        </w:numPr>
        <w:spacing w:line="360" w:lineRule="auto"/>
        <w:jc w:val="both"/>
        <w:rPr>
          <w:rFonts w:cstheme="minorHAnsi"/>
        </w:rPr>
      </w:pPr>
      <w:r w:rsidRPr="00070D70">
        <w:rPr>
          <w:rFonts w:cstheme="minorHAnsi"/>
        </w:rPr>
        <w:t>Auto-efficacité Généralisée</w:t>
      </w:r>
    </w:p>
    <w:p w14:paraId="1BBBE479" w14:textId="77777777" w:rsidR="002B0096" w:rsidRDefault="002B0096" w:rsidP="002B0096">
      <w:pPr>
        <w:jc w:val="both"/>
        <w:rPr>
          <w:rFonts w:cstheme="minorHAnsi"/>
        </w:rPr>
      </w:pPr>
      <w:r w:rsidRPr="00A73B72">
        <w:rPr>
          <w:rFonts w:cstheme="minorHAnsi"/>
        </w:rPr>
        <w:t xml:space="preserve">Au terme de la collecte, un effectif de </w:t>
      </w:r>
      <w:r>
        <w:rPr>
          <w:rFonts w:cstheme="minorHAnsi"/>
        </w:rPr>
        <w:t>300</w:t>
      </w:r>
      <w:r w:rsidRPr="00A73B72">
        <w:rPr>
          <w:rFonts w:cstheme="minorHAnsi"/>
        </w:rPr>
        <w:t xml:space="preserve"> ménages</w:t>
      </w:r>
      <w:r>
        <w:rPr>
          <w:rFonts w:cstheme="minorHAnsi"/>
        </w:rPr>
        <w:t>/éleveurs</w:t>
      </w:r>
      <w:r w:rsidRPr="00A73B72">
        <w:rPr>
          <w:rFonts w:cstheme="minorHAnsi"/>
        </w:rPr>
        <w:t xml:space="preserve"> a été enquêté dans l’ensemble de la Zone</w:t>
      </w:r>
      <w:r>
        <w:rPr>
          <w:rFonts w:cstheme="minorHAnsi"/>
        </w:rPr>
        <w:t xml:space="preserve"> d’étude</w:t>
      </w:r>
      <w:r w:rsidRPr="00A73B72">
        <w:rPr>
          <w:rFonts w:cstheme="minorHAnsi"/>
        </w:rPr>
        <w:t xml:space="preserve">. In fine, le dépouillement révèle que l’échantillon enquêté comportent </w:t>
      </w:r>
      <w:r>
        <w:rPr>
          <w:rFonts w:cstheme="minorHAnsi"/>
        </w:rPr>
        <w:t>300</w:t>
      </w:r>
      <w:r w:rsidRPr="00A73B72">
        <w:rPr>
          <w:rFonts w:cstheme="minorHAnsi"/>
        </w:rPr>
        <w:t xml:space="preserve"> ménages</w:t>
      </w:r>
      <w:r>
        <w:rPr>
          <w:rFonts w:cstheme="minorHAnsi"/>
        </w:rPr>
        <w:t xml:space="preserve"> répartis inégalement suivant le type d’élevage. En effet, 80 ménages se trouvant dans la zone pastorale, 80 dans la zone </w:t>
      </w:r>
      <w:r w:rsidRPr="00D44496">
        <w:rPr>
          <w:rFonts w:cstheme="minorHAnsi"/>
        </w:rPr>
        <w:t>agro-pastorale à dominance agricole</w:t>
      </w:r>
      <w:r>
        <w:rPr>
          <w:rFonts w:cstheme="minorHAnsi"/>
        </w:rPr>
        <w:t xml:space="preserve">, 20 dans la zone </w:t>
      </w:r>
      <w:r w:rsidRPr="00D44496">
        <w:rPr>
          <w:rFonts w:cstheme="minorHAnsi"/>
        </w:rPr>
        <w:t xml:space="preserve">d'embouche et de commerce du </w:t>
      </w:r>
      <w:proofErr w:type="spellStart"/>
      <w:r w:rsidRPr="00D44496">
        <w:rPr>
          <w:rFonts w:cstheme="minorHAnsi"/>
        </w:rPr>
        <w:t>béta</w:t>
      </w:r>
      <w:r>
        <w:rPr>
          <w:rFonts w:cstheme="minorHAnsi"/>
        </w:rPr>
        <w:t>l</w:t>
      </w:r>
      <w:proofErr w:type="spellEnd"/>
      <w:r>
        <w:rPr>
          <w:rFonts w:cstheme="minorHAnsi"/>
        </w:rPr>
        <w:t xml:space="preserve">, 40 dans la zone </w:t>
      </w:r>
      <w:r w:rsidRPr="00D44496">
        <w:rPr>
          <w:rFonts w:cstheme="minorHAnsi"/>
        </w:rPr>
        <w:t>agro-pastorale à dominance pastoral</w:t>
      </w:r>
      <w:r>
        <w:rPr>
          <w:rFonts w:cstheme="minorHAnsi"/>
        </w:rPr>
        <w:t xml:space="preserve">, 20 dans la zone </w:t>
      </w:r>
      <w:r w:rsidRPr="00D44496">
        <w:rPr>
          <w:rFonts w:cstheme="minorHAnsi"/>
        </w:rPr>
        <w:t>de transit</w:t>
      </w:r>
      <w:r>
        <w:rPr>
          <w:rFonts w:cstheme="minorHAnsi"/>
        </w:rPr>
        <w:t xml:space="preserve"> et 60 dans la zone </w:t>
      </w:r>
      <w:r w:rsidRPr="00D44496">
        <w:rPr>
          <w:rFonts w:cstheme="minorHAnsi"/>
        </w:rPr>
        <w:t>agro-pastorale par excellence</w:t>
      </w:r>
      <w:r>
        <w:rPr>
          <w:rFonts w:cstheme="minorHAnsi"/>
        </w:rPr>
        <w:t>.</w:t>
      </w:r>
    </w:p>
    <w:p w14:paraId="76F42C3D" w14:textId="40CE498D" w:rsidR="00002ECA" w:rsidRDefault="002B0096" w:rsidP="00002ECA">
      <w:pPr>
        <w:keepNext/>
      </w:pPr>
      <w:r>
        <w:rPr>
          <w:noProof/>
          <w:lang w:eastAsia="fr-FR"/>
        </w:rPr>
        <w:lastRenderedPageBreak/>
        <mc:AlternateContent>
          <mc:Choice xmlns:w16se="http://schemas.microsoft.com/office/word/2015/wordml/symex" xmlns:cx1="http://schemas.microsoft.com/office/drawing/2015/9/8/chartex" xmlns:cx="http://schemas.microsoft.com/office/drawing/2014/chartex" Requires="cx1">
            <w:drawing>
              <wp:inline distT="0" distB="0" distL="0" distR="0" wp14:anchorId="25413C8C" wp14:editId="4618971E">
                <wp:extent cx="2857500" cy="2638425"/>
                <wp:effectExtent l="0" t="0" r="0" b="9525"/>
                <wp:docPr id="17" name="Graphique 17"/>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8"/>
                  </a:graphicData>
                </a:graphic>
              </wp:inline>
            </w:drawing>
          </mc:Choice>
          <mc:Fallback>
            <w:drawing>
              <wp:inline distT="0" distB="0" distL="0" distR="0" wp14:anchorId="25413C8C" wp14:editId="4618971E">
                <wp:extent cx="2857500" cy="2638425"/>
                <wp:effectExtent l="0" t="0" r="0" b="9525"/>
                <wp:docPr id="17" name="Graphique 17"/>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7" name="Graphique 17"/>
                        <pic:cNvPicPr>
                          <a:picLocks noGrp="1" noRot="1" noChangeAspect="1" noMove="1" noResize="1" noEditPoints="1" noAdjustHandles="1" noChangeArrowheads="1" noChangeShapeType="1"/>
                        </pic:cNvPicPr>
                      </pic:nvPicPr>
                      <pic:blipFill>
                        <a:blip r:embed="rId19"/>
                        <a:stretch>
                          <a:fillRect/>
                        </a:stretch>
                      </pic:blipFill>
                      <pic:spPr>
                        <a:xfrm>
                          <a:off x="0" y="0"/>
                          <a:ext cx="2857500" cy="2638425"/>
                        </a:xfrm>
                        <a:prstGeom prst="rect">
                          <a:avLst/>
                        </a:prstGeom>
                      </pic:spPr>
                    </pic:pic>
                  </a:graphicData>
                </a:graphic>
              </wp:inline>
            </w:drawing>
          </mc:Fallback>
        </mc:AlternateContent>
      </w:r>
      <w:r w:rsidR="00002ECA" w:rsidRPr="00002ECA">
        <w:rPr>
          <w:noProof/>
          <w:lang w:eastAsia="fr-FR"/>
        </w:rPr>
        <w:t xml:space="preserve"> </w:t>
      </w:r>
      <w:r w:rsidR="00002ECA">
        <w:rPr>
          <w:noProof/>
          <w:lang w:eastAsia="fr-FR"/>
        </w:rPr>
        <w:drawing>
          <wp:inline distT="0" distB="0" distL="0" distR="0" wp14:anchorId="5E359963" wp14:editId="494A41E2">
            <wp:extent cx="2794000" cy="2633345"/>
            <wp:effectExtent l="0" t="0" r="6350" b="14605"/>
            <wp:docPr id="19" name="Graphique 19">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D0B3A0A-752F-4967-926A-D94160B538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0520923" w14:textId="6F5251C8" w:rsidR="00002ECA" w:rsidRDefault="00002ECA" w:rsidP="00002ECA">
      <w:pPr>
        <w:pStyle w:val="Lgende"/>
      </w:pPr>
      <w:bookmarkStart w:id="54" w:name="_Toc17839423"/>
      <w:bookmarkStart w:id="55" w:name="_Toc17840171"/>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1</w:t>
      </w:r>
      <w:r w:rsidR="008339A9">
        <w:rPr>
          <w:noProof/>
        </w:rPr>
        <w:fldChar w:fldCharType="end"/>
      </w:r>
      <w:r>
        <w:t>: Répartition de l'échantillon par département</w:t>
      </w:r>
      <w:r>
        <w:tab/>
        <w:t xml:space="preserve">         </w:t>
      </w:r>
      <w:r w:rsidRPr="00002ECA">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2</w:t>
      </w:r>
      <w:r w:rsidR="008339A9">
        <w:rPr>
          <w:noProof/>
        </w:rPr>
        <w:fldChar w:fldCharType="end"/>
      </w:r>
      <w:r w:rsidRPr="00002ECA">
        <w:t>: Répartition de l'échantillon par strate</w:t>
      </w:r>
      <w:bookmarkEnd w:id="54"/>
      <w:bookmarkEnd w:id="55"/>
    </w:p>
    <w:p w14:paraId="4C512806" w14:textId="77777777" w:rsidR="004B4F93" w:rsidRDefault="004B4F93" w:rsidP="0056146E">
      <w:pPr>
        <w:pStyle w:val="Titre1"/>
        <w:numPr>
          <w:ilvl w:val="0"/>
          <w:numId w:val="1"/>
        </w:numPr>
      </w:pPr>
      <w:bookmarkStart w:id="56" w:name="_Toc17840333"/>
      <w:r>
        <w:t>Résultats</w:t>
      </w:r>
      <w:bookmarkEnd w:id="56"/>
    </w:p>
    <w:p w14:paraId="60794E50" w14:textId="77777777" w:rsidR="00224B5F" w:rsidRDefault="00224B5F" w:rsidP="0056146E">
      <w:pPr>
        <w:pStyle w:val="Titre2"/>
        <w:numPr>
          <w:ilvl w:val="0"/>
          <w:numId w:val="3"/>
        </w:numPr>
      </w:pPr>
      <w:bookmarkStart w:id="57" w:name="_Toc17840334"/>
      <w:r>
        <w:t>Appréciation des conditions de vie</w:t>
      </w:r>
      <w:bookmarkEnd w:id="57"/>
    </w:p>
    <w:p w14:paraId="28BE2EA0" w14:textId="196FDE98" w:rsidR="00384E91" w:rsidRPr="00384E91" w:rsidRDefault="00384E91" w:rsidP="0056146E">
      <w:pPr>
        <w:pStyle w:val="Titre3"/>
        <w:numPr>
          <w:ilvl w:val="0"/>
          <w:numId w:val="14"/>
        </w:numPr>
      </w:pPr>
      <w:bookmarkStart w:id="58" w:name="_Toc17840335"/>
      <w:r>
        <w:t>Caractéristiques démographiques du ménage</w:t>
      </w:r>
      <w:bookmarkEnd w:id="58"/>
    </w:p>
    <w:p w14:paraId="230F889E" w14:textId="77777777" w:rsidR="00FF2D2F" w:rsidRDefault="009F201A" w:rsidP="008F3185">
      <w:pPr>
        <w:jc w:val="both"/>
      </w:pPr>
      <w:r>
        <w:t>Les ménages qui ont fait l’objet de cette étude sont principalement des ménages ruraux vivant dans un contexte socio-culturel</w:t>
      </w:r>
      <w:r w:rsidR="00590055">
        <w:t xml:space="preserve"> majoritairement </w:t>
      </w:r>
      <w:r w:rsidR="00590055" w:rsidRPr="00590055">
        <w:rPr>
          <w:i/>
        </w:rPr>
        <w:t>peulh</w:t>
      </w:r>
      <w:r w:rsidR="00EC471E">
        <w:t>. La taille des ménages y e</w:t>
      </w:r>
      <w:r w:rsidR="00590055">
        <w:t xml:space="preserve">st en moyenne de 12 </w:t>
      </w:r>
      <w:r w:rsidR="00585087">
        <w:t>membres. L</w:t>
      </w:r>
      <w:r w:rsidR="00EC471E">
        <w:t xml:space="preserve">es ménages les plus petits ayant </w:t>
      </w:r>
      <w:r w:rsidR="00585087">
        <w:t>ont entre</w:t>
      </w:r>
      <w:r w:rsidR="00EC471E">
        <w:t xml:space="preserve"> 5 et 10 </w:t>
      </w:r>
      <w:r w:rsidR="00585087">
        <w:t>membres</w:t>
      </w:r>
      <w:r w:rsidR="00EC471E">
        <w:t xml:space="preserve"> </w:t>
      </w:r>
      <w:r w:rsidR="00585087">
        <w:t>et représentent</w:t>
      </w:r>
      <w:r w:rsidR="00EC471E">
        <w:t xml:space="preserve"> </w:t>
      </w:r>
      <w:r w:rsidR="00FF2D2F">
        <w:t xml:space="preserve">près de 43% de l’ensemble de la population d’éleveurs étudiés. Les ménages de 10 à 20 </w:t>
      </w:r>
      <w:r w:rsidR="00585087">
        <w:t>membres</w:t>
      </w:r>
      <w:r w:rsidR="00FF2D2F">
        <w:t xml:space="preserve"> représentent également le même pourcentage de l’ensemble des ménages étudiés. Pour la plupart de tous ces ménages, la gestion du cheptel possédés par l’ensemble des </w:t>
      </w:r>
      <w:r w:rsidR="00585087">
        <w:t xml:space="preserve">membres </w:t>
      </w:r>
      <w:r w:rsidR="00FF2D2F">
        <w:t>soit indi</w:t>
      </w:r>
      <w:r w:rsidR="00585087">
        <w:t xml:space="preserve">viduellement ou collectivement </w:t>
      </w:r>
      <w:r w:rsidR="00FF2D2F">
        <w:t>es</w:t>
      </w:r>
      <w:r w:rsidR="00585087">
        <w:t>t confiée</w:t>
      </w:r>
      <w:r w:rsidR="00FF2D2F">
        <w:t xml:space="preserve"> principaleme</w:t>
      </w:r>
      <w:r w:rsidR="00585087">
        <w:t>nt au chef de ménage 88%. Dans de rares</w:t>
      </w:r>
      <w:r w:rsidR="00263C17">
        <w:t xml:space="preserve"> situation, la gestion e</w:t>
      </w:r>
      <w:r w:rsidR="00585087">
        <w:t>st confiée au fils (5% environ), à l’épouse (</w:t>
      </w:r>
      <w:r w:rsidR="00263C17">
        <w:t xml:space="preserve">2% </w:t>
      </w:r>
      <w:r w:rsidR="00585087">
        <w:t>environ) au père, à</w:t>
      </w:r>
      <w:r w:rsidR="00263C17">
        <w:t xml:space="preserve"> la mère</w:t>
      </w:r>
      <w:r w:rsidR="00585087">
        <w:t>,</w:t>
      </w:r>
      <w:r w:rsidR="00263C17">
        <w:t xml:space="preserve"> aux frères ou sœur</w:t>
      </w:r>
      <w:r w:rsidR="00585087">
        <w:t>s</w:t>
      </w:r>
      <w:r w:rsidR="00263C17">
        <w:t xml:space="preserve"> ou </w:t>
      </w:r>
      <w:r w:rsidR="00585087">
        <w:t xml:space="preserve">encore </w:t>
      </w:r>
      <w:r w:rsidR="00263C17">
        <w:t>à une tierce autre personne (5% environ). S’agissant du sexe du responsable, nous remarquerons sans surprise que les hommes sont les principaux gérants du bétail avec 87% de la population enquêtée contre 13% environ de femmes</w:t>
      </w:r>
      <w:r w:rsidR="00585087">
        <w:t xml:space="preserve"> qui ont été identifiées comme responsable du bétail de leur ménage</w:t>
      </w:r>
      <w:r w:rsidR="00263C17">
        <w:t xml:space="preserve">. </w:t>
      </w:r>
    </w:p>
    <w:p w14:paraId="5871304A" w14:textId="55902526" w:rsidR="00B00E14" w:rsidRDefault="00FF2D2F" w:rsidP="00B00E14">
      <w:pPr>
        <w:keepNext/>
      </w:pPr>
      <w:r>
        <w:rPr>
          <w:noProof/>
          <w:lang w:eastAsia="fr-FR"/>
        </w:rPr>
        <w:lastRenderedPageBreak/>
        <w:drawing>
          <wp:inline distT="0" distB="0" distL="0" distR="0" wp14:anchorId="6211A25A" wp14:editId="598E38A0">
            <wp:extent cx="2863850" cy="2597150"/>
            <wp:effectExtent l="0" t="0" r="12700" b="12700"/>
            <wp:docPr id="28" name="Graphique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00B00E14">
        <w:rPr>
          <w:noProof/>
          <w:lang w:eastAsia="fr-FR"/>
        </w:rPr>
        <w:drawing>
          <wp:inline distT="0" distB="0" distL="0" distR="0" wp14:anchorId="21973BBF" wp14:editId="41DBE0A8">
            <wp:extent cx="2876550" cy="2584450"/>
            <wp:effectExtent l="0" t="0" r="0" b="6350"/>
            <wp:docPr id="18" name="Graphique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7B3B4B0" w14:textId="165408E8" w:rsidR="00632D63" w:rsidRDefault="00B00E14" w:rsidP="00901DD5">
      <w:pPr>
        <w:pStyle w:val="Lgende"/>
      </w:pPr>
      <w:bookmarkStart w:id="59" w:name="_Toc17840172"/>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3</w:t>
      </w:r>
      <w:r w:rsidR="008339A9">
        <w:rPr>
          <w:noProof/>
        </w:rPr>
        <w:fldChar w:fldCharType="end"/>
      </w:r>
      <w:r>
        <w:t>: Taille du ménage</w:t>
      </w:r>
      <w:r>
        <w:tab/>
      </w:r>
      <w:r>
        <w:tab/>
      </w:r>
      <w:r>
        <w:tab/>
      </w:r>
      <w:r>
        <w:tab/>
      </w:r>
      <w:r>
        <w:tab/>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4</w:t>
      </w:r>
      <w:r w:rsidR="008339A9">
        <w:rPr>
          <w:noProof/>
        </w:rPr>
        <w:fldChar w:fldCharType="end"/>
      </w:r>
      <w:r>
        <w:t>: Genre du responsable du bétail</w:t>
      </w:r>
      <w:bookmarkEnd w:id="59"/>
    </w:p>
    <w:p w14:paraId="5738C8C6" w14:textId="24571716" w:rsidR="00384E91" w:rsidRDefault="00384E91" w:rsidP="0056146E">
      <w:pPr>
        <w:pStyle w:val="Titre3"/>
        <w:numPr>
          <w:ilvl w:val="0"/>
          <w:numId w:val="14"/>
        </w:numPr>
      </w:pPr>
      <w:bookmarkStart w:id="60" w:name="_Toc17840336"/>
      <w:r>
        <w:t>Biens possédés par les ménages</w:t>
      </w:r>
      <w:bookmarkEnd w:id="60"/>
    </w:p>
    <w:p w14:paraId="387B41C6" w14:textId="77777777" w:rsidR="005A4226" w:rsidRDefault="00D430A7" w:rsidP="00861EC1">
      <w:pPr>
        <w:jc w:val="both"/>
      </w:pPr>
      <w:r>
        <w:t xml:space="preserve">Concernant les moyens de transport, les ménages de la population d’étude possèdent comme la plupart des ménages en milieu rural, des charrettes principalement (près de 80% des ménages). </w:t>
      </w:r>
      <w:r w:rsidR="005A4226">
        <w:t>Les véhicules à moteurs sont peu fréquents dans les zones concernées par l’étude malgré la distance entre les localités. Ils représentent en effet moins de 10</w:t>
      </w:r>
      <w:r w:rsidR="00323A8A">
        <w:t>% des moyens de transport</w:t>
      </w:r>
      <w:r w:rsidR="005A4226">
        <w:t xml:space="preserve"> possédés par les ménages.</w:t>
      </w:r>
    </w:p>
    <w:p w14:paraId="0FAAF17D" w14:textId="0C288F1E" w:rsidR="00D55442" w:rsidRDefault="00D430A7" w:rsidP="00D55442">
      <w:pPr>
        <w:keepNext/>
      </w:pPr>
      <w:r>
        <w:rPr>
          <w:noProof/>
          <w:lang w:eastAsia="fr-FR"/>
        </w:rPr>
        <w:drawing>
          <wp:inline distT="0" distB="0" distL="0" distR="0" wp14:anchorId="7CFC0C2C" wp14:editId="6C6BE965">
            <wp:extent cx="2857500" cy="2832100"/>
            <wp:effectExtent l="0" t="0" r="0" b="6350"/>
            <wp:docPr id="32" name="Graphique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00D55442">
        <w:rPr>
          <w:noProof/>
          <w:lang w:eastAsia="fr-FR"/>
        </w:rPr>
        <w:drawing>
          <wp:inline distT="0" distB="0" distL="0" distR="0" wp14:anchorId="554B8C19" wp14:editId="4E4A7538">
            <wp:extent cx="2895600" cy="2851150"/>
            <wp:effectExtent l="0" t="0" r="0" b="6350"/>
            <wp:docPr id="33" name="Graphique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6365341" w14:textId="714EF184" w:rsidR="00D55442" w:rsidRDefault="00D55442" w:rsidP="00D55442">
      <w:pPr>
        <w:pStyle w:val="Lgende"/>
      </w:pPr>
      <w:bookmarkStart w:id="61" w:name="_Toc17839425"/>
      <w:bookmarkStart w:id="62" w:name="_Toc17840173"/>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5</w:t>
      </w:r>
      <w:r w:rsidR="008339A9">
        <w:rPr>
          <w:noProof/>
        </w:rPr>
        <w:fldChar w:fldCharType="end"/>
      </w:r>
      <w:r>
        <w:t>: Types de moyens de transport</w:t>
      </w:r>
      <w:r>
        <w:tab/>
      </w:r>
      <w:r>
        <w:tab/>
      </w:r>
      <w:r>
        <w:tab/>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6</w:t>
      </w:r>
      <w:r w:rsidR="008339A9">
        <w:rPr>
          <w:noProof/>
        </w:rPr>
        <w:fldChar w:fldCharType="end"/>
      </w:r>
      <w:r>
        <w:t>: Nombre de moyens de transport</w:t>
      </w:r>
      <w:bookmarkEnd w:id="61"/>
      <w:bookmarkEnd w:id="62"/>
    </w:p>
    <w:p w14:paraId="21C15E5C" w14:textId="795B7562" w:rsidR="00323A8A" w:rsidRDefault="00323A8A" w:rsidP="00861EC1">
      <w:pPr>
        <w:jc w:val="both"/>
      </w:pPr>
      <w:r>
        <w:t>Les ménages éleveurs se caractérisent également par les biens d’équipement qu’ils possèdent. Ils ne possèdent</w:t>
      </w:r>
      <w:r w:rsidR="00FF48D4">
        <w:t xml:space="preserve"> principalement que des radios (75% environ) et des téléphones portables (98%). </w:t>
      </w:r>
      <w:r>
        <w:t xml:space="preserve"> </w:t>
      </w:r>
      <w:r w:rsidR="00FF48D4">
        <w:t>Le téléviseur est le troisième bien le plus possédé (20% des ménages). En effet, l’analyse du nombre de biens possédés par les ménages montre que la plupart en possèdent 2 (environs 56% des ménages). 21% des ménages n’en n’ont qu’un seul et environs 86% n’en n’ont que 3 : un portable, une radio avec soit un ventilateur ou un téléviseur.</w:t>
      </w:r>
    </w:p>
    <w:p w14:paraId="1913F161" w14:textId="7BA7B466" w:rsidR="00D55442" w:rsidRPr="00D55442" w:rsidRDefault="00384E91" w:rsidP="00D55442">
      <w:pPr>
        <w:keepNext/>
      </w:pPr>
      <w:r>
        <w:rPr>
          <w:noProof/>
          <w:lang w:eastAsia="fr-FR"/>
        </w:rPr>
        <w:lastRenderedPageBreak/>
        <w:drawing>
          <wp:inline distT="0" distB="0" distL="0" distR="0" wp14:anchorId="61FAAD1A" wp14:editId="68CFA5D8">
            <wp:extent cx="2844800" cy="2762250"/>
            <wp:effectExtent l="0" t="0" r="12700" b="0"/>
            <wp:docPr id="31" name="Graphique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sidR="00D55442">
        <w:rPr>
          <w:noProof/>
          <w:lang w:eastAsia="fr-FR"/>
        </w:rPr>
        <w:drawing>
          <wp:inline distT="0" distB="0" distL="0" distR="0" wp14:anchorId="703842FA" wp14:editId="396E6F73">
            <wp:extent cx="2895600" cy="2762250"/>
            <wp:effectExtent l="0" t="0" r="0" b="0"/>
            <wp:docPr id="30" name="Graphique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00D55442">
        <w:rPr>
          <w:noProof/>
          <w:lang w:eastAsia="fr-FR"/>
        </w:rPr>
        <w:t xml:space="preserve"> </w:t>
      </w:r>
    </w:p>
    <w:p w14:paraId="2D1FC299" w14:textId="335B3DBE" w:rsidR="00D55442" w:rsidRDefault="00D55442" w:rsidP="00D55442">
      <w:pPr>
        <w:pStyle w:val="Lgende"/>
      </w:pPr>
      <w:bookmarkStart w:id="63" w:name="_Toc17839426"/>
      <w:bookmarkStart w:id="64" w:name="_Toc17840174"/>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7</w:t>
      </w:r>
      <w:r w:rsidR="008339A9">
        <w:rPr>
          <w:noProof/>
        </w:rPr>
        <w:fldChar w:fldCharType="end"/>
      </w:r>
      <w:r>
        <w:t>: Matériels électroniques dans le ménage</w:t>
      </w:r>
      <w:r>
        <w:tab/>
      </w:r>
      <w:r>
        <w:tab/>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8</w:t>
      </w:r>
      <w:r w:rsidR="008339A9">
        <w:rPr>
          <w:noProof/>
        </w:rPr>
        <w:fldChar w:fldCharType="end"/>
      </w:r>
      <w:r>
        <w:t>: Nombre de matériels électronique</w:t>
      </w:r>
      <w:bookmarkEnd w:id="63"/>
      <w:bookmarkEnd w:id="64"/>
    </w:p>
    <w:p w14:paraId="492F8F0D" w14:textId="33DDB3DE" w:rsidR="00E15D54" w:rsidRDefault="00E15D54" w:rsidP="00861EC1">
      <w:pPr>
        <w:jc w:val="both"/>
      </w:pPr>
      <w:r>
        <w:t xml:space="preserve">L’analyse des sources de revenu confirment la prédominance de l’Elevage suivi de l’agriculture et ensuite le commerce comme </w:t>
      </w:r>
      <w:r w:rsidR="00097544">
        <w:t xml:space="preserve">étant </w:t>
      </w:r>
      <w:r>
        <w:t>les t</w:t>
      </w:r>
      <w:r w:rsidR="00097544">
        <w:t>rois plus grandes activités dans les 5 départements de notre étude. Environ 77% des ménages ont déclarés que la vente de produits d’élevage faisait partie de leur source de revenu. Pour la vente des produits agricoles, 43% des ménages ont déclarés que cela faisait partie de leur source de revenu des 12 derniers mois.  Pour le commerce, il fait partie des sources de revenu de 30% des ménages enquêtés. La diversification des sources de revenu pouvant également être considéré</w:t>
      </w:r>
      <w:r w:rsidR="00010251">
        <w:t>e</w:t>
      </w:r>
      <w:r w:rsidR="00097544">
        <w:t xml:space="preserve"> comme un moyen de réduction de son degré d’exposition aux risques, </w:t>
      </w:r>
      <w:r w:rsidR="00010251">
        <w:t>il est intéressant de voir le nombre de sources de revenu des éleveurs durant les 12 derniers mois. Com</w:t>
      </w:r>
      <w:r w:rsidR="00870393">
        <w:t>me présenté dans la figure 10</w:t>
      </w:r>
      <w:r w:rsidR="00010251">
        <w:t xml:space="preserve">, on peut se rendre compte que 35% des </w:t>
      </w:r>
      <w:r w:rsidR="00633A98">
        <w:t xml:space="preserve">éleveurs n’ont eu qu’une seule source de revenu durant les 12 derniers mois. Par ailleurs pour 42% d’entre eux, ils n’ont que 2 sources de revenus. </w:t>
      </w:r>
      <w:r w:rsidR="00222AE5">
        <w:t>20% environ ont 3 sources de revenu et seuls 1,67% ont 4 sources de revenu qui est le nombre maximum de sources de revenus déclaré.</w:t>
      </w:r>
    </w:p>
    <w:p w14:paraId="79457D68" w14:textId="2B5BE2C1" w:rsidR="00D55442" w:rsidRDefault="00E15D54" w:rsidP="00D55442">
      <w:pPr>
        <w:keepNext/>
      </w:pPr>
      <w:r>
        <w:rPr>
          <w:noProof/>
          <w:lang w:eastAsia="fr-FR"/>
        </w:rPr>
        <w:drawing>
          <wp:inline distT="0" distB="0" distL="0" distR="0" wp14:anchorId="5653F1BA" wp14:editId="248A4690">
            <wp:extent cx="3073400" cy="2851150"/>
            <wp:effectExtent l="0" t="0" r="12700" b="6350"/>
            <wp:docPr id="34" name="Graphique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sidR="00D55442" w:rsidRPr="00D55442">
        <w:rPr>
          <w:noProof/>
          <w:shd w:val="clear" w:color="auto" w:fill="ED7D31" w:themeFill="accent2"/>
          <w:lang w:eastAsia="fr-FR"/>
        </w:rPr>
        <w:t xml:space="preserve"> </w:t>
      </w:r>
      <w:r w:rsidR="00D55442" w:rsidRPr="00010251">
        <w:rPr>
          <w:noProof/>
          <w:shd w:val="clear" w:color="auto" w:fill="ED7D31" w:themeFill="accent2"/>
          <w:lang w:eastAsia="fr-FR"/>
        </w:rPr>
        <w:drawing>
          <wp:inline distT="0" distB="0" distL="0" distR="0" wp14:anchorId="6F1BB8ED" wp14:editId="15925F3A">
            <wp:extent cx="2622550" cy="2876550"/>
            <wp:effectExtent l="0" t="0" r="6350" b="0"/>
            <wp:docPr id="35" name="Graphique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0BA62C3" w14:textId="5FDBB35F" w:rsidR="00D55442" w:rsidRDefault="00D55442" w:rsidP="00D55442">
      <w:pPr>
        <w:pStyle w:val="Lgende"/>
      </w:pPr>
      <w:bookmarkStart w:id="65" w:name="_Toc17839427"/>
      <w:bookmarkStart w:id="66" w:name="_Toc17840175"/>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9</w:t>
      </w:r>
      <w:r w:rsidR="008339A9">
        <w:rPr>
          <w:noProof/>
        </w:rPr>
        <w:fldChar w:fldCharType="end"/>
      </w:r>
      <w:r>
        <w:t>: Source de revenu de l'enquêté</w:t>
      </w:r>
      <w:r>
        <w:tab/>
      </w:r>
      <w:r>
        <w:tab/>
      </w:r>
      <w:r>
        <w:tab/>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10</w:t>
      </w:r>
      <w:r w:rsidR="008339A9">
        <w:rPr>
          <w:noProof/>
        </w:rPr>
        <w:fldChar w:fldCharType="end"/>
      </w:r>
      <w:r>
        <w:t>: Nombre de sources de revenu</w:t>
      </w:r>
      <w:bookmarkEnd w:id="65"/>
      <w:bookmarkEnd w:id="66"/>
    </w:p>
    <w:p w14:paraId="6707F9B9" w14:textId="77777777" w:rsidR="00224B5F" w:rsidRDefault="004B4F93" w:rsidP="0056146E">
      <w:pPr>
        <w:pStyle w:val="Titre2"/>
        <w:numPr>
          <w:ilvl w:val="0"/>
          <w:numId w:val="3"/>
        </w:numPr>
      </w:pPr>
      <w:bookmarkStart w:id="67" w:name="_Toc17840337"/>
      <w:r>
        <w:lastRenderedPageBreak/>
        <w:t>Risques et stratégies d’adaptations</w:t>
      </w:r>
      <w:bookmarkEnd w:id="67"/>
    </w:p>
    <w:p w14:paraId="38041409" w14:textId="3E3D8679" w:rsidR="00A811AD" w:rsidRDefault="005E4228" w:rsidP="005E4228">
      <w:pPr>
        <w:jc w:val="both"/>
      </w:pPr>
      <w:r>
        <w:rPr>
          <w:i/>
        </w:rPr>
        <w:t>« </w:t>
      </w:r>
      <w:r w:rsidRPr="005E4228">
        <w:rPr>
          <w:i/>
        </w:rPr>
        <w:t xml:space="preserve">Par choc on entend un changement brusque survenu dans la vie du ménage ou des individus. Il peut très bien s’agir de choc émotionnel ou d’un événement de force majeure imprévisible et contre lequel l’individu ne dispose pas de moyens de riposte. </w:t>
      </w:r>
      <w:r>
        <w:rPr>
          <w:i/>
        </w:rPr>
        <w:t xml:space="preserve">Il peut s’agir par exemple, </w:t>
      </w:r>
      <w:r w:rsidRPr="005E4228">
        <w:rPr>
          <w:i/>
        </w:rPr>
        <w:t>des intempéries et catastrophes naturelles de plus en plus aggravées par les changements climatiques, ou des bouleversements économiques qui peuvent influer sur le pouvoir d’achat des ménages et la stabilité de l’emploi</w:t>
      </w:r>
      <w:r>
        <w:rPr>
          <w:i/>
        </w:rPr>
        <w:t> »</w:t>
      </w:r>
      <w:r w:rsidRPr="005E4228">
        <w:rPr>
          <w:i/>
        </w:rPr>
        <w:t xml:space="preserve"> </w:t>
      </w:r>
      <w:sdt>
        <w:sdtPr>
          <w:rPr>
            <w:i/>
          </w:rPr>
          <w:id w:val="-1306385543"/>
          <w:citation/>
        </w:sdtPr>
        <w:sdtEndPr/>
        <w:sdtContent>
          <w:r>
            <w:rPr>
              <w:i/>
            </w:rPr>
            <w:fldChar w:fldCharType="begin"/>
          </w:r>
          <w:r>
            <w:rPr>
              <w:i/>
            </w:rPr>
            <w:instrText xml:space="preserve"> CITATION ANS15 \l 1036 </w:instrText>
          </w:r>
          <w:r>
            <w:rPr>
              <w:i/>
            </w:rPr>
            <w:fldChar w:fldCharType="separate"/>
          </w:r>
          <w:r w:rsidR="004131F6">
            <w:rPr>
              <w:noProof/>
            </w:rPr>
            <w:t>(ANSD, Septembre 2015)</w:t>
          </w:r>
          <w:r>
            <w:rPr>
              <w:i/>
            </w:rPr>
            <w:fldChar w:fldCharType="end"/>
          </w:r>
        </w:sdtContent>
      </w:sdt>
      <w:r>
        <w:rPr>
          <w:i/>
        </w:rPr>
        <w:t>.</w:t>
      </w:r>
      <w:r>
        <w:t xml:space="preserve"> Dans le cadre de cette étude, nous adoptons la même approche du concept de chocs. Toutefois, nous regroupons les catégories de chocs, selon qu’ils soient liées au prix de vente ou coûts d’achat des biens. Si tel est le cas, nous les regroupons en chocs financiers. Si c’est le cas échéant, nous parlons de chocs non financiers.</w:t>
      </w:r>
    </w:p>
    <w:p w14:paraId="0F817158" w14:textId="77777777" w:rsidR="005E4228" w:rsidRPr="005E4228" w:rsidRDefault="007B1F2C" w:rsidP="005E4228">
      <w:pPr>
        <w:jc w:val="both"/>
      </w:pPr>
      <w:r>
        <w:t xml:space="preserve">L’analyse des chocs financiers subis par les ménages éleveurs enquêtés montre que c’est la hausse des coûts liés à l’alimentation du bétail qui </w:t>
      </w:r>
      <w:r w:rsidR="00993929">
        <w:t xml:space="preserve">les </w:t>
      </w:r>
      <w:r>
        <w:t>préocc</w:t>
      </w:r>
      <w:r w:rsidR="00993929">
        <w:t xml:space="preserve">upe le plus </w:t>
      </w:r>
      <w:r>
        <w:t xml:space="preserve">en termes de chocs financiers. </w:t>
      </w:r>
      <w:r w:rsidR="00993929">
        <w:t>Il s’en suit</w:t>
      </w:r>
      <w:r>
        <w:t xml:space="preserve"> la hausse des prix des denrées alimentaires consommées par les membres du ménage eux même. Durant les 12 derniers mois précédant notre étude, 70% des ménages ont déclarés avoir subis des chocs financiers. </w:t>
      </w:r>
      <w:r w:rsidR="00993929">
        <w:t>Environ 40% ont au moins subis deux chocs financiers.</w:t>
      </w:r>
    </w:p>
    <w:p w14:paraId="136CCB95" w14:textId="674D62B0" w:rsidR="00D55442" w:rsidRDefault="007B1F2C" w:rsidP="00D55442">
      <w:pPr>
        <w:keepNext/>
      </w:pPr>
      <w:r>
        <w:rPr>
          <w:noProof/>
          <w:lang w:eastAsia="fr-FR"/>
        </w:rPr>
        <w:drawing>
          <wp:inline distT="0" distB="0" distL="0" distR="0" wp14:anchorId="6327647F" wp14:editId="79475332">
            <wp:extent cx="2971800" cy="3365500"/>
            <wp:effectExtent l="0" t="0" r="0" b="6350"/>
            <wp:docPr id="36" name="Graphique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sidR="00B85E69">
        <w:rPr>
          <w:noProof/>
          <w:lang w:eastAsia="fr-FR"/>
        </w:rPr>
        <w:drawing>
          <wp:inline distT="0" distB="0" distL="0" distR="0" wp14:anchorId="2EA81037" wp14:editId="0082DB03">
            <wp:extent cx="2780665" cy="3340100"/>
            <wp:effectExtent l="0" t="0" r="635" b="12700"/>
            <wp:docPr id="37" name="Graphique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D205DE6" w14:textId="58DD27A6" w:rsidR="00B85E69" w:rsidRDefault="00D55442" w:rsidP="00B85E69">
      <w:pPr>
        <w:pStyle w:val="Lgende"/>
      </w:pPr>
      <w:bookmarkStart w:id="68" w:name="_Toc17839428"/>
      <w:bookmarkStart w:id="69" w:name="_Toc17840176"/>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11</w:t>
      </w:r>
      <w:r w:rsidR="008339A9">
        <w:rPr>
          <w:noProof/>
        </w:rPr>
        <w:fldChar w:fldCharType="end"/>
      </w:r>
      <w:r>
        <w:t>:   Chocs financiers subis</w:t>
      </w:r>
      <w:r w:rsidR="00B85E69">
        <w:tab/>
      </w:r>
      <w:r w:rsidR="00B85E69">
        <w:tab/>
      </w:r>
      <w:r w:rsidR="00B85E69">
        <w:tab/>
      </w:r>
      <w:r w:rsidR="00B85E69">
        <w:tab/>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12</w:t>
      </w:r>
      <w:r w:rsidR="008339A9">
        <w:rPr>
          <w:noProof/>
        </w:rPr>
        <w:fldChar w:fldCharType="end"/>
      </w:r>
      <w:r w:rsidR="00B85E69">
        <w:t>:Nombre de chocs financiers</w:t>
      </w:r>
      <w:bookmarkEnd w:id="68"/>
      <w:bookmarkEnd w:id="69"/>
    </w:p>
    <w:p w14:paraId="5620E447" w14:textId="77777777" w:rsidR="00BF246B" w:rsidRDefault="00BF246B" w:rsidP="00861EC1">
      <w:pPr>
        <w:jc w:val="both"/>
      </w:pPr>
      <w:r>
        <w:t xml:space="preserve">Concernant les chocs non financiers, c’est-à-dire les chocs non liés à des structures de prix, nous remarquons que ce sont les pluies insuffisantes qui ont été </w:t>
      </w:r>
      <w:r w:rsidR="003F1FD5">
        <w:t xml:space="preserve">le plus </w:t>
      </w:r>
      <w:r>
        <w:t xml:space="preserve">déclarés </w:t>
      </w:r>
      <w:r w:rsidR="003F1FD5">
        <w:t>parmi les chocs auxquels les ménages éleveurs font face</w:t>
      </w:r>
      <w:r>
        <w:t xml:space="preserve">. En effet </w:t>
      </w:r>
      <w:r w:rsidR="003F1FD5">
        <w:t>53,6% des ménages enquêtés l’ont considéré comme un choc qu’ils ont subi les 12 derniers mois. Il s’en suit les maladies du bétail qui constituent le deuxième choc le plus déclaré, suivi des pauses pluviométriques et ensuite du vol du bétail en quatrième position.</w:t>
      </w:r>
      <w:r w:rsidR="00D4755F">
        <w:t xml:space="preserve"> L’analyse de la fréquence des chocs dans la population montre qu’ils ont touché près de 80% de la population étudié. Par ailleurs plus de la moitié des enquêtés ont déclarés avoir subis au moins 2 chocs. </w:t>
      </w:r>
    </w:p>
    <w:p w14:paraId="1B4F2B65" w14:textId="35A55B04" w:rsidR="0065384B" w:rsidRDefault="002D0FD8" w:rsidP="0065384B">
      <w:pPr>
        <w:keepNext/>
      </w:pPr>
      <w:r>
        <w:rPr>
          <w:noProof/>
          <w:lang w:eastAsia="fr-FR"/>
        </w:rPr>
        <w:lastRenderedPageBreak/>
        <w:drawing>
          <wp:inline distT="0" distB="0" distL="0" distR="0" wp14:anchorId="120CC891" wp14:editId="0F770FB6">
            <wp:extent cx="3054350" cy="3187700"/>
            <wp:effectExtent l="0" t="0" r="12700" b="12700"/>
            <wp:docPr id="23" name="Graphique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0065384B">
        <w:rPr>
          <w:noProof/>
          <w:lang w:eastAsia="fr-FR"/>
        </w:rPr>
        <w:drawing>
          <wp:inline distT="0" distB="0" distL="0" distR="0" wp14:anchorId="3F7B1E7F" wp14:editId="714DD576">
            <wp:extent cx="2628900" cy="3181350"/>
            <wp:effectExtent l="0" t="0" r="0" b="0"/>
            <wp:docPr id="38" name="Graphique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740758B" w14:textId="11D93080" w:rsidR="0065384B" w:rsidRDefault="0065384B" w:rsidP="000278E1">
      <w:pPr>
        <w:pStyle w:val="Lgende"/>
      </w:pPr>
      <w:bookmarkStart w:id="70" w:name="_Toc17839429"/>
      <w:bookmarkStart w:id="71" w:name="_Toc17840177"/>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13</w:t>
      </w:r>
      <w:r w:rsidR="008339A9">
        <w:rPr>
          <w:noProof/>
        </w:rPr>
        <w:fldChar w:fldCharType="end"/>
      </w:r>
      <w:r>
        <w:t>: Chocs non financiers subis</w:t>
      </w:r>
      <w:r>
        <w:tab/>
      </w:r>
      <w:r>
        <w:tab/>
      </w:r>
      <w:r>
        <w:tab/>
      </w:r>
      <w:r>
        <w:tab/>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14</w:t>
      </w:r>
      <w:r w:rsidR="008339A9">
        <w:rPr>
          <w:noProof/>
        </w:rPr>
        <w:fldChar w:fldCharType="end"/>
      </w:r>
      <w:r>
        <w:t>: Nombre de chocs non financiers subis</w:t>
      </w:r>
      <w:bookmarkEnd w:id="70"/>
      <w:bookmarkEnd w:id="71"/>
    </w:p>
    <w:p w14:paraId="15F5AA22" w14:textId="366F0B6D" w:rsidR="005161AF" w:rsidRDefault="005161AF" w:rsidP="00861EC1">
      <w:pPr>
        <w:jc w:val="both"/>
      </w:pPr>
      <w:r>
        <w:t>Face aux chocs, la littérature économique a montré que les ménages développent plusieurs stratégies d’adaptions qui se limitent souvent à un arbitrage entre la vente des actifs pour lisser la consommation, la baisse de la consommation pour lisser les actifs ou la combinaison des deux. Dans le cadre de notre étude, il ressort que le lissage de la consommation, à travers la vente des actifs est la situation qui prévaut le plus car 50% des ménages enquêtés ont déclarés que durant les 12 derniers mois, ils ont vendu plus de bétail que d’habitudes pour faire face à des chocs. L’endettement, surement pour garder le niveau des actifs ou celui de la consommation sans avoir à sacrifier l’un d’entre eux, ne serait-ce que pour un certain temps, constituent la deuxième voie qui semble être la plus utilisée. Nous remarquons également que les ménages sont pauvres en termes de stratégies d’adaptation car seuls 15% ont au moins trois stratégies d’adaptations qu’ils peuvent combiner pour faire face aux chocs déclarés.</w:t>
      </w:r>
    </w:p>
    <w:p w14:paraId="250F6D8A" w14:textId="4BA65826" w:rsidR="0065384B" w:rsidRDefault="00BE5CC2" w:rsidP="0065384B">
      <w:pPr>
        <w:keepNext/>
      </w:pPr>
      <w:r>
        <w:rPr>
          <w:noProof/>
          <w:lang w:eastAsia="fr-FR"/>
        </w:rPr>
        <w:lastRenderedPageBreak/>
        <w:drawing>
          <wp:inline distT="0" distB="0" distL="0" distR="0" wp14:anchorId="275130ED" wp14:editId="70CEBBCD">
            <wp:extent cx="2965450" cy="4394200"/>
            <wp:effectExtent l="0" t="0" r="6350" b="6350"/>
            <wp:docPr id="40" name="Graphique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sidR="00DC69D0">
        <w:rPr>
          <w:noProof/>
          <w:lang w:eastAsia="fr-FR"/>
        </w:rPr>
        <w:drawing>
          <wp:inline distT="0" distB="0" distL="0" distR="0" wp14:anchorId="5AA0A8EC" wp14:editId="607D4857">
            <wp:extent cx="2755900" cy="4394200"/>
            <wp:effectExtent l="0" t="0" r="6350" b="6350"/>
            <wp:docPr id="24" name="Graphique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DD695F6" w14:textId="45E96E3A" w:rsidR="00DC69D0" w:rsidRDefault="0065384B" w:rsidP="00DC69D0">
      <w:pPr>
        <w:pStyle w:val="Lgende"/>
      </w:pPr>
      <w:bookmarkStart w:id="72" w:name="_Toc17839430"/>
      <w:bookmarkStart w:id="73" w:name="_Toc17840178"/>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15</w:t>
      </w:r>
      <w:r w:rsidR="008339A9">
        <w:rPr>
          <w:noProof/>
        </w:rPr>
        <w:fldChar w:fldCharType="end"/>
      </w:r>
      <w:r>
        <w:t>: Stratégies d'adaptation développées</w:t>
      </w:r>
      <w:r w:rsidR="00DC69D0">
        <w:tab/>
      </w:r>
      <w:r w:rsidR="00DC69D0">
        <w:tab/>
      </w:r>
      <w:r w:rsidR="00DC69D0">
        <w:tab/>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16</w:t>
      </w:r>
      <w:r w:rsidR="008339A9">
        <w:rPr>
          <w:noProof/>
        </w:rPr>
        <w:fldChar w:fldCharType="end"/>
      </w:r>
      <w:r w:rsidR="00DC69D0">
        <w:t>: Nombre de stratégies développées</w:t>
      </w:r>
      <w:bookmarkEnd w:id="72"/>
      <w:bookmarkEnd w:id="73"/>
    </w:p>
    <w:p w14:paraId="099C7380" w14:textId="77777777" w:rsidR="00FF17EE" w:rsidRDefault="00FF17EE" w:rsidP="00861EC1">
      <w:pPr>
        <w:jc w:val="both"/>
      </w:pPr>
      <w:r>
        <w:t>Le résultat selon lequel l’insuffisance des pluies est le choc le plus cité parmi les chocs non financiers que les éleveurs subissent est confirmé par les résultats sur l’appréciation de la tendance des pluies. En effet, pour 84% des éleveurs les pluies ont une tendance à la baisse ces dernières années contre seulement 5% qui ont un sentiment qu’il y a une tendance à la hausse. 4,33 % pensent que la tendance est constante alors que 6% pense que les pluies sont erratiques.</w:t>
      </w:r>
    </w:p>
    <w:p w14:paraId="5207987E" w14:textId="77777777" w:rsidR="00224B5F" w:rsidRPr="00DC69D0" w:rsidRDefault="00224B5F" w:rsidP="0056146E">
      <w:pPr>
        <w:pStyle w:val="Titre2"/>
        <w:numPr>
          <w:ilvl w:val="0"/>
          <w:numId w:val="3"/>
        </w:numPr>
      </w:pPr>
      <w:bookmarkStart w:id="74" w:name="_Toc17840338"/>
      <w:r w:rsidRPr="00DC69D0">
        <w:t>Investissement et revenu tiré de l’élevage</w:t>
      </w:r>
      <w:bookmarkEnd w:id="74"/>
    </w:p>
    <w:p w14:paraId="0871ECF3" w14:textId="2F3D505B" w:rsidR="000C6634" w:rsidRDefault="00794FE1" w:rsidP="00861EC1">
      <w:pPr>
        <w:jc w:val="both"/>
      </w:pPr>
      <w:r>
        <w:t>Avant de voir les niveaux d’investissement et le revenu tiré de ces investissements, nous nous intéressons d’abord à la taille du cheptel. Principalement, nous analysons le nombre de bovins, d’ovins et de caprins possédés par les éleveurs.</w:t>
      </w:r>
    </w:p>
    <w:p w14:paraId="3C1D627C" w14:textId="690EE853" w:rsidR="000A2F61" w:rsidRDefault="000A2F61" w:rsidP="0056146E">
      <w:pPr>
        <w:pStyle w:val="Titre3"/>
        <w:numPr>
          <w:ilvl w:val="0"/>
          <w:numId w:val="15"/>
        </w:numPr>
      </w:pPr>
      <w:bookmarkStart w:id="75" w:name="_Toc17840339"/>
      <w:r>
        <w:t>Taille du cheptel</w:t>
      </w:r>
      <w:bookmarkEnd w:id="75"/>
    </w:p>
    <w:p w14:paraId="0798C3A0" w14:textId="7EA4F3A2" w:rsidR="000C6634" w:rsidRPr="005342EC" w:rsidRDefault="005C620B" w:rsidP="00861EC1">
      <w:pPr>
        <w:jc w:val="both"/>
      </w:pPr>
      <w:r>
        <w:t>Pour les bovins, en moyenne, les éleveurs en possèdent autour de 9,7 têtes. Environ</w:t>
      </w:r>
      <w:r w:rsidR="00C77C9B">
        <w:t xml:space="preserve"> 54</w:t>
      </w:r>
      <w:r w:rsidR="00794FE1">
        <w:t>% des éleveurs en possède e</w:t>
      </w:r>
      <w:r w:rsidR="00C77C9B">
        <w:t>ntre 0 et 3</w:t>
      </w:r>
      <w:r w:rsidR="003530F1">
        <w:t>. Autour de</w:t>
      </w:r>
      <w:r>
        <w:t xml:space="preserve"> 21%</w:t>
      </w:r>
      <w:r w:rsidR="003530F1">
        <w:t xml:space="preserve"> d’entre eux en </w:t>
      </w:r>
      <w:r w:rsidR="00794FE1">
        <w:t xml:space="preserve">ont entre 3 et 10 têtes, contre 18% environ qui ont entre 10 et 30 têtes. Environs 8% ont entre 30 et 100 têtes de bovins. </w:t>
      </w:r>
      <w:r w:rsidR="000A2F61">
        <w:t>L’éleveur</w:t>
      </w:r>
      <w:r>
        <w:t xml:space="preserve"> avec le plus grand nombre de bovins a déclaré en posséder 200.</w:t>
      </w:r>
      <w:r w:rsidR="000A2F61">
        <w:t xml:space="preserve"> </w:t>
      </w:r>
      <w:r w:rsidR="000C6634">
        <w:t xml:space="preserve">S’agissant des ovins, </w:t>
      </w:r>
      <w:r>
        <w:t>le nombre possédé en moyenne tourne autour de 24 têtes. Environ 35% des éleveurs ont entre 10 et 50 caprins, 10% ont entre 50 et 100 et 3,3% ont plus de 100. Le nombre maximum de tête possédé par un éleveur était de 300 têtes d’ovins déclarés.</w:t>
      </w:r>
      <w:r w:rsidR="000A2F61">
        <w:t xml:space="preserve"> </w:t>
      </w:r>
      <w:r w:rsidR="000C6634">
        <w:t>Pour les caprins, presque 60% des éleveurs en ont entre 0 et 10</w:t>
      </w:r>
      <w:r>
        <w:t xml:space="preserve"> têtes de bétail. </w:t>
      </w:r>
      <w:r w:rsidR="00766052">
        <w:t>Environ 35% ont entre 10 et 50 têtes, contre environ 6</w:t>
      </w:r>
      <w:r>
        <w:t xml:space="preserve">% </w:t>
      </w:r>
      <w:r w:rsidR="00766052">
        <w:t>qui en ont entre 50 et 100. Moins de 1% entre 100 et 200 têtes. En moyenne, le nombre de caprins déclaré par éleveurs tourne autour de 18 têtes.</w:t>
      </w:r>
    </w:p>
    <w:p w14:paraId="3420281E" w14:textId="4FE8E5BA" w:rsidR="00CB7881" w:rsidRDefault="00DE37CE" w:rsidP="00CB7881">
      <w:pPr>
        <w:keepNext/>
        <w:jc w:val="center"/>
      </w:pPr>
      <w:r>
        <w:rPr>
          <w:noProof/>
          <w:lang w:eastAsia="fr-FR"/>
        </w:rPr>
        <w:lastRenderedPageBreak/>
        <w:drawing>
          <wp:inline distT="0" distB="0" distL="0" distR="0" wp14:anchorId="79C6F037" wp14:editId="5FFA6856">
            <wp:extent cx="2901950" cy="3136900"/>
            <wp:effectExtent l="0" t="0" r="12700" b="6350"/>
            <wp:docPr id="14" name="Graphique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00CB7881">
        <w:rPr>
          <w:noProof/>
          <w:lang w:eastAsia="fr-FR"/>
        </w:rPr>
        <w:drawing>
          <wp:inline distT="0" distB="0" distL="0" distR="0" wp14:anchorId="3A9C5BDD" wp14:editId="1B7D0567">
            <wp:extent cx="2819400" cy="3124200"/>
            <wp:effectExtent l="0" t="0" r="0" b="0"/>
            <wp:docPr id="15" name="Graphique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7CCE9B5" w14:textId="5C312FB8" w:rsidR="00CB7881" w:rsidRDefault="00CB7881" w:rsidP="00CF3BAA">
      <w:pPr>
        <w:pStyle w:val="Lgende"/>
        <w:jc w:val="center"/>
      </w:pPr>
      <w:bookmarkStart w:id="76" w:name="_Toc17839431"/>
      <w:bookmarkStart w:id="77" w:name="_Toc17840179"/>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17</w:t>
      </w:r>
      <w:r w:rsidR="008339A9">
        <w:rPr>
          <w:noProof/>
        </w:rPr>
        <w:fldChar w:fldCharType="end"/>
      </w:r>
      <w:r>
        <w:t>: Nombre de bovins</w:t>
      </w:r>
      <w:r w:rsidR="00CF3BAA">
        <w:tab/>
      </w:r>
      <w:r w:rsidR="00CF3BAA">
        <w:tab/>
      </w:r>
      <w:r w:rsidR="00CF3BAA">
        <w:tab/>
      </w:r>
      <w:r w:rsidR="00CF3BAA">
        <w:tab/>
      </w:r>
      <w:r w:rsidR="00CF3BAA">
        <w:tab/>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18</w:t>
      </w:r>
      <w:r w:rsidR="008339A9">
        <w:rPr>
          <w:noProof/>
        </w:rPr>
        <w:fldChar w:fldCharType="end"/>
      </w:r>
      <w:r w:rsidR="00CF3BAA">
        <w:t>: Nombre d'ovins</w:t>
      </w:r>
      <w:bookmarkEnd w:id="76"/>
      <w:bookmarkEnd w:id="77"/>
    </w:p>
    <w:p w14:paraId="48D4893A" w14:textId="77777777" w:rsidR="00CB7881" w:rsidRDefault="00DE37CE" w:rsidP="00CB7881">
      <w:pPr>
        <w:keepNext/>
        <w:jc w:val="center"/>
      </w:pPr>
      <w:r>
        <w:rPr>
          <w:noProof/>
          <w:lang w:eastAsia="fr-FR"/>
        </w:rPr>
        <w:drawing>
          <wp:inline distT="0" distB="0" distL="0" distR="0" wp14:anchorId="4DE91498" wp14:editId="01C7DD7E">
            <wp:extent cx="3917950" cy="2743200"/>
            <wp:effectExtent l="0" t="0" r="6350" b="0"/>
            <wp:docPr id="16" name="Graphique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0A957D09" w14:textId="59AF7BD3" w:rsidR="00DE37CE" w:rsidRDefault="00CB7881" w:rsidP="00CB7881">
      <w:pPr>
        <w:pStyle w:val="Lgende"/>
        <w:jc w:val="center"/>
      </w:pPr>
      <w:bookmarkStart w:id="78" w:name="_Toc17839432"/>
      <w:bookmarkStart w:id="79" w:name="_Toc17840180"/>
      <w:r>
        <w:t xml:space="preserve">Figure </w:t>
      </w:r>
      <w:r w:rsidR="008339A9">
        <w:rPr>
          <w:noProof/>
        </w:rPr>
        <w:fldChar w:fldCharType="begin"/>
      </w:r>
      <w:r w:rsidR="008339A9">
        <w:rPr>
          <w:noProof/>
        </w:rPr>
        <w:instrText xml:space="preserve"> SEQ Figure </w:instrText>
      </w:r>
      <w:r w:rsidR="008339A9">
        <w:rPr>
          <w:noProof/>
        </w:rPr>
        <w:instrText xml:space="preserve">\* ARABIC </w:instrText>
      </w:r>
      <w:r w:rsidR="008339A9">
        <w:rPr>
          <w:noProof/>
        </w:rPr>
        <w:fldChar w:fldCharType="separate"/>
      </w:r>
      <w:r w:rsidR="002A0AC7">
        <w:rPr>
          <w:noProof/>
        </w:rPr>
        <w:t>19</w:t>
      </w:r>
      <w:r w:rsidR="008339A9">
        <w:rPr>
          <w:noProof/>
        </w:rPr>
        <w:fldChar w:fldCharType="end"/>
      </w:r>
      <w:r>
        <w:t>: Nombre de caprins</w:t>
      </w:r>
      <w:bookmarkEnd w:id="78"/>
      <w:bookmarkEnd w:id="79"/>
    </w:p>
    <w:p w14:paraId="23EA86AE" w14:textId="192386DD" w:rsidR="00DE37CE" w:rsidRDefault="000A2F61" w:rsidP="0056146E">
      <w:pPr>
        <w:pStyle w:val="Titre3"/>
        <w:numPr>
          <w:ilvl w:val="0"/>
          <w:numId w:val="15"/>
        </w:numPr>
      </w:pPr>
      <w:bookmarkStart w:id="80" w:name="_Toc17840340"/>
      <w:r>
        <w:t>Investissements</w:t>
      </w:r>
      <w:bookmarkEnd w:id="80"/>
    </w:p>
    <w:p w14:paraId="02F98D41" w14:textId="451237D9" w:rsidR="00C77C9B" w:rsidRPr="00C77C9B" w:rsidRDefault="00C77C9B" w:rsidP="00707EC6">
      <w:pPr>
        <w:jc w:val="both"/>
      </w:pPr>
      <w:r>
        <w:t xml:space="preserve">L’aliment de bétail et l’abreuvement consomment environ 90% des dépenses d’investissement sur le cheptel. En effet, alors que les dépenses moyennes tournent autour de 150 000 FCFA </w:t>
      </w:r>
      <w:r w:rsidR="007F4BF3">
        <w:t xml:space="preserve">par an </w:t>
      </w:r>
      <w:r>
        <w:t xml:space="preserve">pour les bovins, 175 000 FCFA </w:t>
      </w:r>
      <w:r w:rsidR="007F4BF3">
        <w:t xml:space="preserve">par an </w:t>
      </w:r>
      <w:r>
        <w:t xml:space="preserve">pour les ovins et 30 000 FCFA </w:t>
      </w:r>
      <w:r w:rsidR="007F4BF3">
        <w:t xml:space="preserve">par an </w:t>
      </w:r>
      <w:r>
        <w:t xml:space="preserve">pour les caprins, l’alimentation coûte respectivement 200 000 FCFA, 142 000 FCFA et 23 000 FCFA </w:t>
      </w:r>
      <w:r w:rsidR="007F4BF3">
        <w:t xml:space="preserve">en moyenne </w:t>
      </w:r>
      <w:r>
        <w:t>pour les différents groupes de bêtes</w:t>
      </w:r>
      <w:r w:rsidR="007F4BF3">
        <w:t xml:space="preserve"> et par an</w:t>
      </w:r>
      <w:r>
        <w:t xml:space="preserve">. </w:t>
      </w:r>
      <w:r w:rsidR="007F4BF3">
        <w:t>Les dépenses effectuées pour la santé du troupeau viennent loin derrière et comptent en moyenne pour 15 000 FCFA environ pour les bovins, 12 000 FCFA environ pour les ovins et 3</w:t>
      </w:r>
      <w:r w:rsidR="00707EC6">
        <w:t xml:space="preserve"> </w:t>
      </w:r>
      <w:r w:rsidR="007F4BF3">
        <w:t>000 FCFA environ pour les caprins. Entre 15 000 FCFA et 20 000 FCFA sont également dépensés pour la main d’œuvre sur les bovins et les ovins.</w:t>
      </w:r>
    </w:p>
    <w:p w14:paraId="04BFE4B5" w14:textId="77777777" w:rsidR="00CF3BAA" w:rsidRDefault="00007DF3" w:rsidP="00CF3BAA">
      <w:pPr>
        <w:keepNext/>
      </w:pPr>
      <w:r>
        <w:rPr>
          <w:noProof/>
          <w:lang w:eastAsia="fr-FR"/>
        </w:rPr>
        <w:lastRenderedPageBreak/>
        <w:drawing>
          <wp:inline distT="0" distB="0" distL="0" distR="0" wp14:anchorId="6FB011EF" wp14:editId="3D94CD86">
            <wp:extent cx="4572000" cy="3197225"/>
            <wp:effectExtent l="0" t="0" r="0" b="3175"/>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6C38932" w14:textId="782B87C5" w:rsidR="00007DF3" w:rsidRPr="00007DF3" w:rsidRDefault="00CF3BAA" w:rsidP="00CF3BAA">
      <w:pPr>
        <w:pStyle w:val="Lgende"/>
      </w:pPr>
      <w:bookmarkStart w:id="81" w:name="_Toc17839433"/>
      <w:bookmarkStart w:id="82" w:name="_Toc17840181"/>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20</w:t>
      </w:r>
      <w:r w:rsidR="008339A9">
        <w:rPr>
          <w:noProof/>
        </w:rPr>
        <w:fldChar w:fldCharType="end"/>
      </w:r>
      <w:r>
        <w:t>: Investissement dans l'élevage pastoral et agro-pastoral</w:t>
      </w:r>
      <w:bookmarkEnd w:id="81"/>
      <w:bookmarkEnd w:id="82"/>
    </w:p>
    <w:p w14:paraId="27EA90C3" w14:textId="4C715109" w:rsidR="000A2F61" w:rsidRDefault="000A2F61" w:rsidP="0056146E">
      <w:pPr>
        <w:pStyle w:val="Titre3"/>
        <w:numPr>
          <w:ilvl w:val="0"/>
          <w:numId w:val="15"/>
        </w:numPr>
      </w:pPr>
      <w:bookmarkStart w:id="83" w:name="_Toc17840341"/>
      <w:r>
        <w:t>Revenus</w:t>
      </w:r>
      <w:bookmarkEnd w:id="83"/>
    </w:p>
    <w:p w14:paraId="323EAA26" w14:textId="3FF26C99" w:rsidR="007A59CD" w:rsidRPr="007A59CD" w:rsidRDefault="007A59CD" w:rsidP="00707EC6">
      <w:pPr>
        <w:jc w:val="both"/>
      </w:pPr>
      <w:r>
        <w:t xml:space="preserve">Comme le montre la figure </w:t>
      </w:r>
      <w:r w:rsidR="00870393">
        <w:t>21</w:t>
      </w:r>
      <w:r>
        <w:t>, le revenu est tiré directement de la vente du bétail. En moyenne les éleveurs ont déclaré gagner chaque année autour de 360 000 FCFA de la vente des bovins, 410 000 FCFA de la vente des ovins et 186 000 FCFA de la vente des caprins.</w:t>
      </w:r>
      <w:r w:rsidR="006D0B5C">
        <w:t xml:space="preserve"> Le commerce de bétail (hors troupeau) effectué en parallèle ne rapporterait que 27 000 FCFA pour les bovins, 12 000 FCFA pour les ovins et un peu moins de 10 000 FCFA pour les caprins alors que les produits dérivés, qui ne concernent que les bovins (essentiellement la vente de lait), rapporte</w:t>
      </w:r>
      <w:r w:rsidR="00707EC6">
        <w:t>nt</w:t>
      </w:r>
      <w:r w:rsidR="006D0B5C">
        <w:t xml:space="preserve"> autour de 25 000 </w:t>
      </w:r>
      <w:r w:rsidR="007772DC">
        <w:t xml:space="preserve">FCFA par </w:t>
      </w:r>
      <w:r w:rsidR="00707EC6">
        <w:t xml:space="preserve">an </w:t>
      </w:r>
      <w:r w:rsidR="007772DC">
        <w:t>en moyenne.</w:t>
      </w:r>
    </w:p>
    <w:p w14:paraId="65B581C7" w14:textId="77777777" w:rsidR="00CF3BAA" w:rsidRDefault="00007DF3" w:rsidP="00CF3BAA">
      <w:pPr>
        <w:keepNext/>
      </w:pPr>
      <w:r>
        <w:rPr>
          <w:noProof/>
          <w:lang w:eastAsia="fr-FR"/>
        </w:rPr>
        <w:drawing>
          <wp:inline distT="0" distB="0" distL="0" distR="0" wp14:anchorId="269B8979" wp14:editId="109D576A">
            <wp:extent cx="4572000" cy="2743200"/>
            <wp:effectExtent l="0" t="0" r="0" b="0"/>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0D0C1F0" w14:textId="3A0B5E2C" w:rsidR="00007DF3" w:rsidRDefault="00CF3BAA" w:rsidP="00CF3BAA">
      <w:pPr>
        <w:pStyle w:val="Lgende"/>
      </w:pPr>
      <w:bookmarkStart w:id="84" w:name="_Toc17839434"/>
      <w:bookmarkStart w:id="85" w:name="_Toc17840182"/>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21</w:t>
      </w:r>
      <w:r w:rsidR="008339A9">
        <w:rPr>
          <w:noProof/>
        </w:rPr>
        <w:fldChar w:fldCharType="end"/>
      </w:r>
      <w:r>
        <w:t>: Revenu tiré de l'élevage pastoral et agropastoral</w:t>
      </w:r>
      <w:bookmarkEnd w:id="84"/>
      <w:bookmarkEnd w:id="85"/>
    </w:p>
    <w:p w14:paraId="06D155E2" w14:textId="77777777" w:rsidR="00CF3BAA" w:rsidRDefault="00007DF3" w:rsidP="00CF3BAA">
      <w:pPr>
        <w:keepNext/>
      </w:pPr>
      <w:r>
        <w:rPr>
          <w:noProof/>
          <w:lang w:eastAsia="fr-FR"/>
        </w:rPr>
        <w:lastRenderedPageBreak/>
        <w:drawing>
          <wp:inline distT="0" distB="0" distL="0" distR="0" wp14:anchorId="2E3BAD05" wp14:editId="7F2F26CA">
            <wp:extent cx="4572000" cy="2743200"/>
            <wp:effectExtent l="0" t="0" r="0" b="0"/>
            <wp:docPr id="20" name="Graphique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15DA59D1" w14:textId="0F7F04FE" w:rsidR="00007DF3" w:rsidRPr="00007DF3" w:rsidRDefault="00CF3BAA" w:rsidP="00CF3BAA">
      <w:pPr>
        <w:pStyle w:val="Lgende"/>
      </w:pPr>
      <w:bookmarkStart w:id="86" w:name="_Toc17839435"/>
      <w:bookmarkStart w:id="87" w:name="_Toc17840183"/>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22</w:t>
      </w:r>
      <w:r w:rsidR="008339A9">
        <w:rPr>
          <w:noProof/>
        </w:rPr>
        <w:fldChar w:fldCharType="end"/>
      </w:r>
      <w:r>
        <w:t>: Moyenne des investissements et revenu par type d'animal</w:t>
      </w:r>
      <w:bookmarkEnd w:id="86"/>
      <w:bookmarkEnd w:id="87"/>
    </w:p>
    <w:p w14:paraId="773D94D4" w14:textId="77777777" w:rsidR="008B18A6" w:rsidRDefault="004B4F93" w:rsidP="0056146E">
      <w:pPr>
        <w:pStyle w:val="Titre2"/>
        <w:numPr>
          <w:ilvl w:val="0"/>
          <w:numId w:val="3"/>
        </w:numPr>
      </w:pPr>
      <w:bookmarkStart w:id="88" w:name="_Toc17840342"/>
      <w:r>
        <w:t>Connaissance et familiarité avec l’assurance</w:t>
      </w:r>
      <w:bookmarkEnd w:id="88"/>
      <w:r>
        <w:t xml:space="preserve"> </w:t>
      </w:r>
    </w:p>
    <w:p w14:paraId="10837E22" w14:textId="6507C7B6" w:rsidR="00766052" w:rsidRPr="00766052" w:rsidRDefault="00766052" w:rsidP="00861EC1">
      <w:pPr>
        <w:jc w:val="both"/>
      </w:pPr>
      <w:r>
        <w:t xml:space="preserve">Sur la base de la figure </w:t>
      </w:r>
      <w:r w:rsidR="00E06D45">
        <w:t>23</w:t>
      </w:r>
      <w:r>
        <w:t xml:space="preserve">, nous pouvons noter que les éleveurs ont une connaissance générale sur l’assurance. En effet, autour de 80% d’entre eux en ont déjà entendu parler avant le passage de nos enquêteurs et cela dans presque tous les départements. La figure </w:t>
      </w:r>
      <w:r w:rsidR="00E06D45">
        <w:t>24</w:t>
      </w:r>
      <w:r>
        <w:t xml:space="preserve"> montre que c’est l’assu</w:t>
      </w:r>
      <w:r w:rsidR="00CC006B">
        <w:t>rance automobile qui est la</w:t>
      </w:r>
      <w:r>
        <w:t xml:space="preserve"> plus connu avec </w:t>
      </w:r>
      <w:r w:rsidR="00CC006B">
        <w:t>87% des éleveurs qui ont avait déjà entendu parler avant, contre 36% pour l’assurance bétail et 20% pour l’assurance agricole. En dépit de la connaissance de l’</w:t>
      </w:r>
      <w:r w:rsidR="00C14792">
        <w:t xml:space="preserve">assurance, seul autour de 10 </w:t>
      </w:r>
      <w:r w:rsidR="00CC006B">
        <w:t xml:space="preserve">% ont déjà acheté </w:t>
      </w:r>
      <w:r w:rsidR="00C14792">
        <w:t xml:space="preserve">souscrit effectivement à </w:t>
      </w:r>
      <w:r w:rsidR="00CC006B">
        <w:t>un quelconque type d’assurance et ont donc une expérience avérée avec celle-ci.</w:t>
      </w:r>
      <w:r w:rsidR="00402755">
        <w:t xml:space="preserve"> Cependant l’assurance bétail ne représente que 15% de la totalité des souscriptions à une assurance déclarée par les éleveurs. Seul 3 éleveurs ont déclaré l’avoir effectivement acheté sur toute la population enquêtée et cela ne représente que 1% de la population de l’étude.</w:t>
      </w:r>
    </w:p>
    <w:p w14:paraId="1F8A8E3C" w14:textId="77777777" w:rsidR="008B18A6" w:rsidRDefault="008B18A6" w:rsidP="008B18A6">
      <w:pPr>
        <w:keepNext/>
      </w:pPr>
      <w:r>
        <w:rPr>
          <w:noProof/>
          <w:lang w:eastAsia="fr-FR"/>
        </w:rPr>
        <w:drawing>
          <wp:inline distT="0" distB="0" distL="0" distR="0" wp14:anchorId="6B88EF2E" wp14:editId="7F4CB1B1">
            <wp:extent cx="2895600" cy="3206750"/>
            <wp:effectExtent l="0" t="0" r="0" b="12700"/>
            <wp:docPr id="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r w:rsidR="00EA004D">
        <w:rPr>
          <w:noProof/>
          <w:lang w:eastAsia="fr-FR"/>
        </w:rPr>
        <w:drawing>
          <wp:inline distT="0" distB="0" distL="0" distR="0" wp14:anchorId="3C49DF7E" wp14:editId="790FB8EA">
            <wp:extent cx="2825750" cy="3194050"/>
            <wp:effectExtent l="0" t="0" r="12700" b="6350"/>
            <wp:docPr id="5"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17F49E6" w14:textId="057AD0C6" w:rsidR="004B3C41" w:rsidRPr="004B3C41" w:rsidRDefault="008B18A6" w:rsidP="004B3C41">
      <w:pPr>
        <w:pStyle w:val="Lgende"/>
      </w:pPr>
      <w:bookmarkStart w:id="89" w:name="_Toc17839436"/>
      <w:bookmarkStart w:id="90" w:name="_Toc17840184"/>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23</w:t>
      </w:r>
      <w:r w:rsidR="008339A9">
        <w:rPr>
          <w:noProof/>
        </w:rPr>
        <w:fldChar w:fldCharType="end"/>
      </w:r>
      <w:r>
        <w:t>:</w:t>
      </w:r>
      <w:r w:rsidRPr="008F76FC">
        <w:t>Connaissance</w:t>
      </w:r>
      <w:r w:rsidR="00EA004D">
        <w:t xml:space="preserve"> de l'assurance en général </w:t>
      </w:r>
      <w:r w:rsidR="00EA004D">
        <w:tab/>
      </w:r>
      <w:r w:rsidR="00EA004D">
        <w:tab/>
      </w:r>
      <w:r w:rsidR="004B3C41">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24</w:t>
      </w:r>
      <w:r w:rsidR="008339A9">
        <w:rPr>
          <w:noProof/>
        </w:rPr>
        <w:fldChar w:fldCharType="end"/>
      </w:r>
      <w:r w:rsidR="004B3C41">
        <w:t>: Connaissance de l'assurance par type</w:t>
      </w:r>
      <w:bookmarkEnd w:id="89"/>
      <w:bookmarkEnd w:id="90"/>
    </w:p>
    <w:p w14:paraId="2B42B594" w14:textId="77777777" w:rsidR="00C96F20" w:rsidRDefault="00B77D5F" w:rsidP="00C96F20">
      <w:pPr>
        <w:keepNext/>
      </w:pPr>
      <w:r>
        <w:rPr>
          <w:noProof/>
          <w:lang w:eastAsia="fr-FR"/>
        </w:rPr>
        <w:lastRenderedPageBreak/>
        <w:drawing>
          <wp:inline distT="0" distB="0" distL="0" distR="0" wp14:anchorId="6B35E889" wp14:editId="0E26AF9B">
            <wp:extent cx="2863850" cy="3111500"/>
            <wp:effectExtent l="0" t="0" r="12700" b="12700"/>
            <wp:docPr id="4"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r w:rsidR="00C96F20">
        <w:rPr>
          <w:noProof/>
          <w:lang w:eastAsia="fr-FR"/>
        </w:rPr>
        <w:drawing>
          <wp:inline distT="0" distB="0" distL="0" distR="0" wp14:anchorId="7D2B8D12" wp14:editId="0ACFDB7C">
            <wp:extent cx="2806700" cy="3111500"/>
            <wp:effectExtent l="0" t="0" r="12700" b="12700"/>
            <wp:docPr id="6" name="Graphique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393CAB02" w14:textId="02E484D7" w:rsidR="00270391" w:rsidRPr="00270391" w:rsidRDefault="00B77D5F" w:rsidP="007C528A">
      <w:pPr>
        <w:pStyle w:val="Lgende"/>
      </w:pPr>
      <w:bookmarkStart w:id="91" w:name="_Toc17839437"/>
      <w:bookmarkStart w:id="92" w:name="_Toc17840185"/>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25</w:t>
      </w:r>
      <w:r w:rsidR="008339A9">
        <w:rPr>
          <w:noProof/>
        </w:rPr>
        <w:fldChar w:fldCharType="end"/>
      </w:r>
      <w:r w:rsidR="004B00E1">
        <w:t>: Souscription à l</w:t>
      </w:r>
      <w:r w:rsidR="00C96F20">
        <w:t>'assurance</w:t>
      </w:r>
      <w:r w:rsidR="004B00E1">
        <w:t xml:space="preserve"> en général </w:t>
      </w:r>
      <w:r w:rsidR="004B00E1">
        <w:tab/>
      </w:r>
      <w:r w:rsidR="004B00E1">
        <w:tab/>
      </w:r>
      <w:r w:rsidR="004B00E1">
        <w:tab/>
        <w:t xml:space="preserve"> 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26</w:t>
      </w:r>
      <w:r w:rsidR="008339A9">
        <w:rPr>
          <w:noProof/>
        </w:rPr>
        <w:fldChar w:fldCharType="end"/>
      </w:r>
      <w:r w:rsidR="004B00E1">
        <w:t>: Raison du non achat de l'assurance bétail</w:t>
      </w:r>
      <w:bookmarkEnd w:id="91"/>
      <w:bookmarkEnd w:id="92"/>
    </w:p>
    <w:p w14:paraId="67794710" w14:textId="77777777" w:rsidR="00273643" w:rsidRDefault="004B4F93" w:rsidP="0056146E">
      <w:pPr>
        <w:pStyle w:val="Titre2"/>
        <w:numPr>
          <w:ilvl w:val="0"/>
          <w:numId w:val="3"/>
        </w:numPr>
      </w:pPr>
      <w:bookmarkStart w:id="93" w:name="_Toc17840343"/>
      <w:r>
        <w:t>Perception sur l’utilité ou pas de l’assurance</w:t>
      </w:r>
      <w:bookmarkEnd w:id="93"/>
    </w:p>
    <w:p w14:paraId="32A81AC3" w14:textId="6FFB283E" w:rsidR="00273643" w:rsidRDefault="00B758BB" w:rsidP="00861EC1">
      <w:pPr>
        <w:jc w:val="both"/>
      </w:pPr>
      <w:r>
        <w:t xml:space="preserve">D’abord, nous nous intéressons à la confiance que les éleveurs ont vis-à-vis de l’assurance. L’analyse du niveau de confiance révèle un résultat mitigé (voir figure </w:t>
      </w:r>
      <w:r w:rsidR="00E06D45">
        <w:t>27</w:t>
      </w:r>
      <w:r>
        <w:t xml:space="preserve">). En effet, les éleveurs </w:t>
      </w:r>
      <w:r w:rsidR="00784D66">
        <w:t xml:space="preserve">semblent </w:t>
      </w:r>
      <w:r w:rsidR="00B0181D">
        <w:t>manifester</w:t>
      </w:r>
      <w:r w:rsidR="00784D66">
        <w:t xml:space="preserve"> de l’intérêt vis-à-vis de l’assurance, mais avec beaucoup de prudence.</w:t>
      </w:r>
      <w:r w:rsidR="00B0181D">
        <w:t xml:space="preserve"> Environ 17% des éleveurs ont déclaré avoir beaucoup de confiance aux systèmes des assurance, 39% environ ont assez de confiance, 22% ont peu de confiance et 20% ne souhaite pas se prononcer. Concernant l’appréciation de l’assurance bétail </w:t>
      </w:r>
      <w:r w:rsidR="00E80424">
        <w:t xml:space="preserve">(classique ou indicielle) </w:t>
      </w:r>
      <w:r w:rsidR="00B0181D">
        <w:t>sur son principe de fonctionnement</w:t>
      </w:r>
      <w:r w:rsidR="00E80424">
        <w:t>, l’écrasante majorité des éleveurs trouve que c’est une bonne chose (plus de 80% quel que soit le type d’assurance)</w:t>
      </w:r>
      <w:r w:rsidR="00B0181D">
        <w:t xml:space="preserve">.  </w:t>
      </w:r>
      <w:r w:rsidR="00E80424">
        <w:t xml:space="preserve">On note cependant une meilleure appréciation de l’assurance indicielle avec environ 95% des éleveurs qui pensent </w:t>
      </w:r>
      <w:r w:rsidR="00B0181D">
        <w:t xml:space="preserve">que l’assurance indicielle bétail </w:t>
      </w:r>
      <w:r w:rsidR="00E80424">
        <w:t xml:space="preserve">est </w:t>
      </w:r>
      <w:r w:rsidR="00B0181D">
        <w:t>une bonne chose</w:t>
      </w:r>
      <w:r w:rsidR="00E80424">
        <w:t xml:space="preserve">. 46% </w:t>
      </w:r>
      <w:r w:rsidR="00B0181D">
        <w:t>la trouve bien et 49</w:t>
      </w:r>
      <w:r w:rsidR="00E80424">
        <w:t>%</w:t>
      </w:r>
      <w:r w:rsidR="00B0181D">
        <w:t xml:space="preserve"> la trouve très bien. Pour l’assurance classique, 84% des éleveurs pensent que c’est une bonne chose avec 58% qui la trouve bien et 26% qui la trouve très bien. 1% des éleveurs ont déclaré que l’assurance indicielle n’est pas bien contre 14% d’éleveurs pour l’assurance classique.</w:t>
      </w:r>
      <w:r w:rsidR="00D80136">
        <w:t xml:space="preserve"> </w:t>
      </w:r>
    </w:p>
    <w:p w14:paraId="76177E88" w14:textId="77777777" w:rsidR="00784D66" w:rsidRDefault="00784D66" w:rsidP="00784D66">
      <w:pPr>
        <w:keepNext/>
      </w:pPr>
      <w:r>
        <w:rPr>
          <w:noProof/>
          <w:lang w:eastAsia="fr-FR"/>
        </w:rPr>
        <w:lastRenderedPageBreak/>
        <w:drawing>
          <wp:inline distT="0" distB="0" distL="0" distR="0" wp14:anchorId="6323E5E8" wp14:editId="7337E885">
            <wp:extent cx="2876550" cy="2743200"/>
            <wp:effectExtent l="0" t="0" r="0" b="0"/>
            <wp:docPr id="13" name="Graphique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r>
        <w:rPr>
          <w:noProof/>
          <w:lang w:eastAsia="fr-FR"/>
        </w:rPr>
        <w:drawing>
          <wp:inline distT="0" distB="0" distL="0" distR="0" wp14:anchorId="42E01E18" wp14:editId="2AEF483A">
            <wp:extent cx="2813050" cy="2743200"/>
            <wp:effectExtent l="0" t="0" r="6350" b="0"/>
            <wp:docPr id="7"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7E5E237C" w14:textId="7547D6FB" w:rsidR="00784D66" w:rsidRDefault="00784D66" w:rsidP="00784D66">
      <w:pPr>
        <w:pStyle w:val="Lgende"/>
      </w:pPr>
      <w:bookmarkStart w:id="94" w:name="_Toc17839438"/>
      <w:bookmarkStart w:id="95" w:name="_Toc17840186"/>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27</w:t>
      </w:r>
      <w:r w:rsidR="008339A9">
        <w:rPr>
          <w:noProof/>
        </w:rPr>
        <w:fldChar w:fldCharType="end"/>
      </w:r>
      <w:r>
        <w:t xml:space="preserve">: Niveau de confiance à l'assurance en général </w:t>
      </w:r>
      <w:r>
        <w:tab/>
        <w:t xml:space="preserve">          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28</w:t>
      </w:r>
      <w:r w:rsidR="008339A9">
        <w:rPr>
          <w:noProof/>
        </w:rPr>
        <w:fldChar w:fldCharType="end"/>
      </w:r>
      <w:r>
        <w:t xml:space="preserve">: Appréciation de l'assurance bétail (class vs </w:t>
      </w:r>
      <w:proofErr w:type="spellStart"/>
      <w:r>
        <w:t>ind</w:t>
      </w:r>
      <w:proofErr w:type="spellEnd"/>
      <w:r>
        <w:t>)</w:t>
      </w:r>
      <w:bookmarkEnd w:id="94"/>
      <w:bookmarkEnd w:id="95"/>
    </w:p>
    <w:p w14:paraId="7C844474" w14:textId="30615F0F" w:rsidR="00784D66" w:rsidRDefault="00D80136" w:rsidP="00861EC1">
      <w:pPr>
        <w:jc w:val="both"/>
      </w:pPr>
      <w:r>
        <w:t xml:space="preserve">Le résultat de la figure </w:t>
      </w:r>
      <w:r w:rsidR="00E06D45">
        <w:t>29</w:t>
      </w:r>
      <w:r>
        <w:t xml:space="preserve"> ci-dessous s’explique par la meilleure appréciation de l’assurance classique vs l’assurance indicielle.</w:t>
      </w:r>
      <w:r w:rsidR="007D39B3">
        <w:t xml:space="preserve"> Les éleveurs ont une fore préférence pour l’assurance indicielle comparée à l’assurance classique. Environ 70% au moins de l’ensemble des participants à l’enquête préfèrent l’assurance indicielle et ce résultat est valable pour tous les départements considérés. Une des explications de ces résultats pourrait être trouvée sur les chocs que les éleveurs ont déclarés avoir subis durant les 12 derniers mois. En effet, les pluies insuffisantes occupaient la première de l’ensemble sur l’ensemble des chocs. </w:t>
      </w:r>
    </w:p>
    <w:p w14:paraId="79431272" w14:textId="77777777" w:rsidR="00B72B4B" w:rsidRDefault="00B72B4B" w:rsidP="00B72B4B">
      <w:pPr>
        <w:keepNext/>
      </w:pPr>
      <w:r>
        <w:rPr>
          <w:noProof/>
          <w:lang w:eastAsia="fr-FR"/>
        </w:rPr>
        <w:drawing>
          <wp:inline distT="0" distB="0" distL="0" distR="0" wp14:anchorId="38B293D1" wp14:editId="35DD7BFD">
            <wp:extent cx="4572000" cy="2743200"/>
            <wp:effectExtent l="0" t="0" r="0" b="0"/>
            <wp:docPr id="8" name="Graphique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1D278671" w14:textId="5647A2BD" w:rsidR="00B72B4B" w:rsidRDefault="00B72B4B" w:rsidP="00B72B4B">
      <w:pPr>
        <w:pStyle w:val="Lgende"/>
      </w:pPr>
      <w:bookmarkStart w:id="96" w:name="_Toc17839439"/>
      <w:bookmarkStart w:id="97" w:name="_Toc17840187"/>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29</w:t>
      </w:r>
      <w:r w:rsidR="008339A9">
        <w:rPr>
          <w:noProof/>
        </w:rPr>
        <w:fldChar w:fldCharType="end"/>
      </w:r>
      <w:r>
        <w:t>:Préférence entre l'assurance classique et indic</w:t>
      </w:r>
      <w:r w:rsidR="009E4CE8">
        <w:t>ielle bétail</w:t>
      </w:r>
      <w:bookmarkEnd w:id="96"/>
      <w:bookmarkEnd w:id="97"/>
    </w:p>
    <w:p w14:paraId="6DFDEF72" w14:textId="0FB469F7" w:rsidR="00860A60" w:rsidRDefault="009E4CE8" w:rsidP="00861EC1">
      <w:pPr>
        <w:keepNext/>
        <w:jc w:val="both"/>
      </w:pPr>
      <w:r>
        <w:t xml:space="preserve">Toujours pour capter le sentiment d’utilité de l’assurance, nous avons interrogé les éleveurs sur les risques qu’ils sont prêts à assurer. Nous les avons d’abord interrogés sur tous les risques auxquels ils font face et qui sont </w:t>
      </w:r>
      <w:r w:rsidRPr="009E4CE8">
        <w:rPr>
          <w:i/>
        </w:rPr>
        <w:t>a priori</w:t>
      </w:r>
      <w:r>
        <w:t xml:space="preserve"> assurables dans le cadre de l’assurance classique. Ensuite, nous avons restreint</w:t>
      </w:r>
      <w:r w:rsidR="00860A60">
        <w:t xml:space="preserve"> la question </w:t>
      </w:r>
      <w:r>
        <w:t xml:space="preserve">aux risques liées </w:t>
      </w:r>
      <w:r w:rsidR="00860A60">
        <w:t>à la pluviométrie</w:t>
      </w:r>
      <w:r>
        <w:t xml:space="preserve"> uniquement</w:t>
      </w:r>
      <w:r w:rsidR="00860A60">
        <w:t xml:space="preserve"> et qui pourraient donc être pris en compte par les produits d’assurance indicielle que la CNAAS propose pour l’instant à ses clients</w:t>
      </w:r>
      <w:r>
        <w:t xml:space="preserve">. </w:t>
      </w:r>
      <w:r w:rsidR="00860A60">
        <w:t xml:space="preserve">Le déficit pluviométrique reste dans tous les cas de figure le premier risque auquel les éleveurs veulent </w:t>
      </w:r>
      <w:r w:rsidR="00860A60">
        <w:lastRenderedPageBreak/>
        <w:t>s’assurer en général. Le vol du bétail vient en deuxième position suivi des maladies du bétail. Lorsqu’il s’agit uniquement des risques liés à la pluviométrie, c’est l’insuffisance des pluies, suivie du retard des pluies qui sont les risques contre lesquels les éleveurs souhaiteraient s’assurer.</w:t>
      </w:r>
    </w:p>
    <w:p w14:paraId="41D7D4FC" w14:textId="77777777" w:rsidR="00860A60" w:rsidRDefault="00860A60" w:rsidP="00BA285D">
      <w:pPr>
        <w:pStyle w:val="Lgende"/>
      </w:pPr>
      <w:r>
        <w:rPr>
          <w:noProof/>
          <w:lang w:eastAsia="fr-FR"/>
        </w:rPr>
        <w:drawing>
          <wp:inline distT="0" distB="0" distL="0" distR="0" wp14:anchorId="0CEA6232" wp14:editId="16C5BE01">
            <wp:extent cx="2876550" cy="2870200"/>
            <wp:effectExtent l="0" t="0" r="0" b="6350"/>
            <wp:docPr id="9" name="Graphique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r w:rsidR="00781DA0">
        <w:rPr>
          <w:noProof/>
          <w:lang w:eastAsia="fr-FR"/>
        </w:rPr>
        <w:drawing>
          <wp:inline distT="0" distB="0" distL="0" distR="0" wp14:anchorId="3B16FBCA" wp14:editId="7BC63C89">
            <wp:extent cx="2813050" cy="2863850"/>
            <wp:effectExtent l="0" t="0" r="6350" b="12700"/>
            <wp:docPr id="10" name="Graphique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1012A908" w14:textId="5B7AA2D3" w:rsidR="00314498" w:rsidRPr="00314498" w:rsidRDefault="00BA285D" w:rsidP="00314498">
      <w:pPr>
        <w:pStyle w:val="Lgende"/>
      </w:pPr>
      <w:bookmarkStart w:id="98" w:name="_Toc17839440"/>
      <w:bookmarkStart w:id="99" w:name="_Toc17840188"/>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30</w:t>
      </w:r>
      <w:r w:rsidR="008339A9">
        <w:rPr>
          <w:noProof/>
        </w:rPr>
        <w:fldChar w:fldCharType="end"/>
      </w:r>
      <w:r>
        <w:t>: Les ri</w:t>
      </w:r>
      <w:r w:rsidR="00781DA0">
        <w:t xml:space="preserve">sques à assurer en général </w:t>
      </w:r>
      <w:r w:rsidR="00781DA0">
        <w:tab/>
      </w:r>
      <w:r w:rsidR="00781DA0">
        <w:tab/>
      </w:r>
      <w:r w:rsidR="00781DA0">
        <w:tab/>
      </w:r>
      <w:r w:rsidR="00314498">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31</w:t>
      </w:r>
      <w:r w:rsidR="008339A9">
        <w:rPr>
          <w:noProof/>
        </w:rPr>
        <w:fldChar w:fldCharType="end"/>
      </w:r>
      <w:r w:rsidR="00781DA0">
        <w:t>: Les risques liés à</w:t>
      </w:r>
      <w:r w:rsidR="00314498">
        <w:t xml:space="preserve"> la </w:t>
      </w:r>
      <w:r w:rsidR="00781DA0">
        <w:t>pluviométrie à assurer</w:t>
      </w:r>
      <w:bookmarkEnd w:id="98"/>
      <w:bookmarkEnd w:id="99"/>
    </w:p>
    <w:p w14:paraId="36EB5772" w14:textId="77777777" w:rsidR="00224B5F" w:rsidRDefault="009E0692" w:rsidP="0056146E">
      <w:pPr>
        <w:pStyle w:val="Titre2"/>
        <w:numPr>
          <w:ilvl w:val="0"/>
          <w:numId w:val="3"/>
        </w:numPr>
      </w:pPr>
      <w:bookmarkStart w:id="100" w:name="_Toc17840344"/>
      <w:r>
        <w:t>Consentement</w:t>
      </w:r>
      <w:r w:rsidR="00F951FE">
        <w:t xml:space="preserve"> à payer pour l’assurance indicielle</w:t>
      </w:r>
      <w:bookmarkEnd w:id="100"/>
    </w:p>
    <w:p w14:paraId="14F227B5" w14:textId="3858A7C1" w:rsidR="00E74F1B" w:rsidRPr="00E74F1B" w:rsidRDefault="00E74F1B" w:rsidP="0056146E">
      <w:pPr>
        <w:pStyle w:val="Titre3"/>
        <w:numPr>
          <w:ilvl w:val="0"/>
          <w:numId w:val="17"/>
        </w:numPr>
      </w:pPr>
      <w:bookmarkStart w:id="101" w:name="_Toc17840345"/>
      <w:r>
        <w:t>Les consentements à payer moyens</w:t>
      </w:r>
      <w:bookmarkEnd w:id="101"/>
    </w:p>
    <w:p w14:paraId="28EA0E91" w14:textId="37AB35C8" w:rsidR="00B36024" w:rsidRDefault="00B36024" w:rsidP="00861EC1">
      <w:pPr>
        <w:jc w:val="both"/>
      </w:pPr>
      <w:r>
        <w:t>L’analyse du consentement à payer est effectuée en mettant les éleveurs dans un contexte où il</w:t>
      </w:r>
      <w:r w:rsidR="00A22A45">
        <w:t>s</w:t>
      </w:r>
      <w:r>
        <w:t xml:space="preserve"> dev</w:t>
      </w:r>
      <w:r w:rsidR="00A22A45">
        <w:t>r</w:t>
      </w:r>
      <w:r>
        <w:t>ai</w:t>
      </w:r>
      <w:r w:rsidR="00A22A45">
        <w:t>en</w:t>
      </w:r>
      <w:r>
        <w:t>t choisir à acheter un produit d’assurance indicielle ou classique bétail bien déf</w:t>
      </w:r>
      <w:r w:rsidR="00A22A45">
        <w:t>ini contre un risque spécifique</w:t>
      </w:r>
      <w:r w:rsidR="000A2241">
        <w:t>. La question du montant du consentement à payer est demandée à chaque éleveur pour les bovins les ovins e</w:t>
      </w:r>
      <w:r w:rsidR="00A22A45">
        <w:t>t</w:t>
      </w:r>
      <w:r w:rsidR="000A2241">
        <w:t xml:space="preserve"> les caprins. Par ailleurs, pour chaque type de bétail, nous demandons les consentements à payer pour (1) une seule tête, (2) les 5 têtes les plus importantes, (</w:t>
      </w:r>
      <w:r w:rsidR="00E01CF8">
        <w:t>3) tout le troupeau, (4) chaque valeur de 100 000 FCFA du troupeau. Nous procédons de la sorte pour récolter des informations utiles sur les préférences des éleveurs sur le produit d’assurance qui a plus de valeurs à leurs yeux.</w:t>
      </w:r>
    </w:p>
    <w:p w14:paraId="363D92EA" w14:textId="77777777" w:rsidR="00E01CF8" w:rsidRPr="00ED33E6" w:rsidRDefault="00E01CF8" w:rsidP="0056146E">
      <w:pPr>
        <w:pStyle w:val="Paragraphedeliste"/>
        <w:numPr>
          <w:ilvl w:val="0"/>
          <w:numId w:val="4"/>
        </w:numPr>
        <w:jc w:val="both"/>
        <w:rPr>
          <w:i/>
        </w:rPr>
      </w:pPr>
      <w:r w:rsidRPr="00ED33E6">
        <w:rPr>
          <w:i/>
        </w:rPr>
        <w:t>Bovins</w:t>
      </w:r>
    </w:p>
    <w:p w14:paraId="6249FE45" w14:textId="77777777" w:rsidR="00ED33E6" w:rsidRDefault="0097264C" w:rsidP="0056146E">
      <w:pPr>
        <w:pStyle w:val="Paragraphedeliste"/>
        <w:numPr>
          <w:ilvl w:val="0"/>
          <w:numId w:val="19"/>
        </w:numPr>
        <w:jc w:val="both"/>
      </w:pPr>
      <w:r>
        <w:t xml:space="preserve">S’il ne s’agit d’assurer qu’une seule tête de bovin, 20% des éleveurs ne sont </w:t>
      </w:r>
      <w:r w:rsidR="00C62C59">
        <w:t xml:space="preserve">pas </w:t>
      </w:r>
      <w:r>
        <w:t>prêts</w:t>
      </w:r>
      <w:r w:rsidR="00C62C59">
        <w:t xml:space="preserve"> à payer</w:t>
      </w:r>
      <w:r>
        <w:t>.</w:t>
      </w:r>
      <w:r w:rsidR="00C62C59">
        <w:t xml:space="preserve"> 90% des éleveurs ne sont prêts à payer que 3000 FCFA au maximum et seuls près de 10% sont prêts à payer</w:t>
      </w:r>
      <w:r>
        <w:t xml:space="preserve"> </w:t>
      </w:r>
      <w:r w:rsidR="00ED33E6">
        <w:t>5000 FCFA ou plus.</w:t>
      </w:r>
    </w:p>
    <w:p w14:paraId="35DB4B9B" w14:textId="77777777" w:rsidR="00ED33E6" w:rsidRDefault="006E797C" w:rsidP="0056146E">
      <w:pPr>
        <w:pStyle w:val="Paragraphedeliste"/>
        <w:numPr>
          <w:ilvl w:val="0"/>
          <w:numId w:val="19"/>
        </w:numPr>
        <w:jc w:val="both"/>
      </w:pPr>
      <w:r>
        <w:t xml:space="preserve">Pour assurer les 5 têtes de bovins les plus importantes, </w:t>
      </w:r>
      <w:r w:rsidR="00ED33E6">
        <w:t xml:space="preserve">environ 15% des éleveurs sont prêts à payer plus de 10 000 FCFA quel que soit le risque. Près de 60% sont prêts à payer au plus 3000 FCFA. </w:t>
      </w:r>
    </w:p>
    <w:p w14:paraId="7A8A95C1" w14:textId="77777777" w:rsidR="00565B32" w:rsidRDefault="00DB2F87" w:rsidP="0056146E">
      <w:pPr>
        <w:pStyle w:val="Paragraphedeliste"/>
        <w:numPr>
          <w:ilvl w:val="0"/>
          <w:numId w:val="19"/>
        </w:numPr>
        <w:jc w:val="both"/>
      </w:pPr>
      <w:r>
        <w:t xml:space="preserve">Naturellement, </w:t>
      </w:r>
      <w:r w:rsidR="00CA118D">
        <w:t xml:space="preserve">pour </w:t>
      </w:r>
      <w:r w:rsidR="006E797C">
        <w:t xml:space="preserve">la </w:t>
      </w:r>
      <w:r w:rsidR="00CA118D">
        <w:t>plupart des éleveurs les</w:t>
      </w:r>
      <w:r>
        <w:t xml:space="preserve"> consen</w:t>
      </w:r>
      <w:r w:rsidR="00CA118D">
        <w:t>tements à payer sont plus élevé</w:t>
      </w:r>
      <w:r>
        <w:t>s (10 000 FCFA ou plus)</w:t>
      </w:r>
      <w:r w:rsidR="0097264C">
        <w:t xml:space="preserve"> lorsqu’il s’agit d’assurer tout le troupeau</w:t>
      </w:r>
      <w:r w:rsidR="00CA118D">
        <w:t xml:space="preserve">. </w:t>
      </w:r>
      <w:r w:rsidR="00ED33E6">
        <w:t xml:space="preserve">Environ 40% des éleveurs sont prêts à payer plus de 10 000 </w:t>
      </w:r>
      <w:r w:rsidR="00565B32">
        <w:t xml:space="preserve">FCFA et </w:t>
      </w:r>
      <w:r w:rsidR="00ED33E6">
        <w:t>50% sont prêts à payer au minimum 10 000 FCFA</w:t>
      </w:r>
      <w:r w:rsidR="00565B32">
        <w:t>.</w:t>
      </w:r>
    </w:p>
    <w:p w14:paraId="3E43C619" w14:textId="153B332F" w:rsidR="00DB2F87" w:rsidRDefault="005320A4" w:rsidP="0056146E">
      <w:pPr>
        <w:pStyle w:val="Paragraphedeliste"/>
        <w:numPr>
          <w:ilvl w:val="0"/>
          <w:numId w:val="19"/>
        </w:numPr>
        <w:jc w:val="both"/>
      </w:pPr>
      <w:r>
        <w:t>Nous pouvons également noter</w:t>
      </w:r>
      <w:r w:rsidR="00CA118D">
        <w:t xml:space="preserve"> </w:t>
      </w:r>
      <w:r w:rsidR="0097264C">
        <w:t xml:space="preserve">que pour assurer une valeur de 100 000 FCFA du troupeau de bovins, </w:t>
      </w:r>
      <w:r w:rsidR="00CA118D">
        <w:t xml:space="preserve">quel que soit le risque, entre 20 à </w:t>
      </w:r>
      <w:r w:rsidR="00623A66">
        <w:t>25% des éleveurs</w:t>
      </w:r>
      <w:r>
        <w:t xml:space="preserve"> sont prêts à payer 3000 FCFA. </w:t>
      </w:r>
      <w:r w:rsidR="00DB2F87">
        <w:t xml:space="preserve"> </w:t>
      </w:r>
      <w:r>
        <w:t>Au</w:t>
      </w:r>
      <w:r w:rsidR="00565B32">
        <w:t>tour de 30 à 35% des éleveurs</w:t>
      </w:r>
      <w:r>
        <w:t xml:space="preserve"> s</w:t>
      </w:r>
      <w:r w:rsidR="00565B32">
        <w:t>ont prêts à payer</w:t>
      </w:r>
      <w:r w:rsidR="00A92ACE">
        <w:t xml:space="preserve"> moins de 3000 FCFA et donc seuls prêts de 30% sont prêts à payer 5000 FCFA ou plus. </w:t>
      </w:r>
    </w:p>
    <w:p w14:paraId="64B8C6C6" w14:textId="77777777" w:rsidR="00EC09F0" w:rsidRDefault="00EC09F0" w:rsidP="00EC09F0">
      <w:pPr>
        <w:jc w:val="both"/>
      </w:pPr>
    </w:p>
    <w:p w14:paraId="7BCEB54C" w14:textId="0854595C" w:rsidR="004131F6" w:rsidRDefault="0097264C" w:rsidP="004131F6">
      <w:pPr>
        <w:keepNext/>
        <w:jc w:val="both"/>
      </w:pPr>
      <w:r>
        <w:rPr>
          <w:noProof/>
          <w:lang w:eastAsia="fr-FR"/>
        </w:rPr>
        <w:lastRenderedPageBreak/>
        <w:drawing>
          <wp:inline distT="0" distB="0" distL="0" distR="0" wp14:anchorId="43E2870D" wp14:editId="134F1CB0">
            <wp:extent cx="2768600" cy="3689350"/>
            <wp:effectExtent l="0" t="0" r="12700" b="6350"/>
            <wp:docPr id="54" name="Graphique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r w:rsidR="00E21DCA">
        <w:rPr>
          <w:noProof/>
          <w:lang w:eastAsia="fr-FR"/>
        </w:rPr>
        <w:drawing>
          <wp:inline distT="0" distB="0" distL="0" distR="0" wp14:anchorId="26F4D413" wp14:editId="1978927B">
            <wp:extent cx="2933700" cy="3702050"/>
            <wp:effectExtent l="0" t="0" r="0" b="12700"/>
            <wp:docPr id="55" name="Graphique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6792CFD8" w14:textId="68516D21" w:rsidR="004131F6" w:rsidRDefault="004131F6" w:rsidP="00E21DCA">
      <w:pPr>
        <w:pStyle w:val="Lgende"/>
        <w:jc w:val="both"/>
      </w:pPr>
      <w:bookmarkStart w:id="102" w:name="_Toc17839441"/>
      <w:bookmarkStart w:id="103" w:name="_Toc17840189"/>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32</w:t>
      </w:r>
      <w:r w:rsidR="008339A9">
        <w:rPr>
          <w:noProof/>
        </w:rPr>
        <w:fldChar w:fldCharType="end"/>
      </w:r>
      <w:r>
        <w:t>: Consentement à payer par tête de bovin</w:t>
      </w:r>
      <w:r w:rsidR="00E21DCA">
        <w:tab/>
        <w:t xml:space="preserve">     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33</w:t>
      </w:r>
      <w:r w:rsidR="008339A9">
        <w:rPr>
          <w:noProof/>
        </w:rPr>
        <w:fldChar w:fldCharType="end"/>
      </w:r>
      <w:r w:rsidR="00E21DCA">
        <w:t>: Consentement à payer: 5 plus importants bovins</w:t>
      </w:r>
      <w:bookmarkEnd w:id="102"/>
      <w:bookmarkEnd w:id="103"/>
    </w:p>
    <w:p w14:paraId="53926454" w14:textId="0CF5504B" w:rsidR="004131F6" w:rsidRDefault="006E797C" w:rsidP="004131F6">
      <w:pPr>
        <w:keepNext/>
        <w:jc w:val="both"/>
      </w:pPr>
      <w:r>
        <w:rPr>
          <w:noProof/>
          <w:lang w:eastAsia="fr-FR"/>
        </w:rPr>
        <w:drawing>
          <wp:inline distT="0" distB="0" distL="0" distR="0" wp14:anchorId="1FDD64B4" wp14:editId="0E6161EA">
            <wp:extent cx="2813050" cy="3702050"/>
            <wp:effectExtent l="0" t="0" r="6350" b="12700"/>
            <wp:docPr id="56" name="Graphique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r w:rsidR="00E21DCA">
        <w:rPr>
          <w:noProof/>
          <w:lang w:eastAsia="fr-FR"/>
        </w:rPr>
        <w:drawing>
          <wp:inline distT="0" distB="0" distL="0" distR="0" wp14:anchorId="592712EE" wp14:editId="4B0E1FD5">
            <wp:extent cx="2921000" cy="3702050"/>
            <wp:effectExtent l="0" t="0" r="12700" b="12700"/>
            <wp:docPr id="52" name="Graphique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45C84A50" w14:textId="240F7F8A" w:rsidR="00E21DCA" w:rsidRDefault="004131F6" w:rsidP="00E21DCA">
      <w:pPr>
        <w:pStyle w:val="Lgende"/>
        <w:jc w:val="both"/>
      </w:pPr>
      <w:bookmarkStart w:id="104" w:name="_Toc17839442"/>
      <w:bookmarkStart w:id="105" w:name="_Toc17840190"/>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34</w:t>
      </w:r>
      <w:r w:rsidR="008339A9">
        <w:rPr>
          <w:noProof/>
        </w:rPr>
        <w:fldChar w:fldCharType="end"/>
      </w:r>
      <w:r>
        <w:t>: Consentement à payer: tout le troupeau</w:t>
      </w:r>
      <w:r w:rsidR="00E21DCA">
        <w:tab/>
        <w:t xml:space="preserve">    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35</w:t>
      </w:r>
      <w:r w:rsidR="008339A9">
        <w:rPr>
          <w:noProof/>
        </w:rPr>
        <w:fldChar w:fldCharType="end"/>
      </w:r>
      <w:r w:rsidR="00E21DCA">
        <w:t>: Consentement à payer: valeur de 100 000 FCFA</w:t>
      </w:r>
      <w:bookmarkEnd w:id="104"/>
      <w:bookmarkEnd w:id="105"/>
    </w:p>
    <w:p w14:paraId="70FF833F" w14:textId="5CFC1530" w:rsidR="00CA118D" w:rsidRDefault="00CA118D" w:rsidP="00861EC1">
      <w:pPr>
        <w:jc w:val="both"/>
        <w:rPr>
          <w:i/>
          <w:iCs/>
          <w:color w:val="44546A" w:themeColor="text2"/>
          <w:sz w:val="18"/>
          <w:szCs w:val="18"/>
        </w:rPr>
      </w:pPr>
    </w:p>
    <w:p w14:paraId="4DC5BAE3" w14:textId="77777777" w:rsidR="001A2FCC" w:rsidRDefault="001A2FCC" w:rsidP="00861EC1">
      <w:pPr>
        <w:jc w:val="both"/>
      </w:pPr>
    </w:p>
    <w:p w14:paraId="3E7E0075" w14:textId="77777777" w:rsidR="00C32EA6" w:rsidRDefault="004830A9" w:rsidP="0056146E">
      <w:pPr>
        <w:pStyle w:val="Paragraphedeliste"/>
        <w:numPr>
          <w:ilvl w:val="0"/>
          <w:numId w:val="4"/>
        </w:numPr>
        <w:jc w:val="both"/>
      </w:pPr>
      <w:r>
        <w:lastRenderedPageBreak/>
        <w:t>Ovins</w:t>
      </w:r>
    </w:p>
    <w:p w14:paraId="63C82AE3" w14:textId="1EBE999B" w:rsidR="0093044E" w:rsidRDefault="002A1AB3" w:rsidP="0056146E">
      <w:pPr>
        <w:pStyle w:val="Paragraphedeliste"/>
        <w:numPr>
          <w:ilvl w:val="0"/>
          <w:numId w:val="20"/>
        </w:numPr>
        <w:jc w:val="both"/>
      </w:pPr>
      <w:r>
        <w:t>Pour assurer une seule tête de leur ovins, 35</w:t>
      </w:r>
      <w:r w:rsidR="0093044E">
        <w:t>%</w:t>
      </w:r>
      <w:r>
        <w:t xml:space="preserve"> à 45% des éleveurs selon le risque à assurer ne sont prêts à payer que 500 FCFA pour une année de couverture. Par contre 20% environ des éleveurs ne sont pas prêts à payer pour assurer leurs ovins. </w:t>
      </w:r>
      <w:r w:rsidR="0093044E">
        <w:t xml:space="preserve">Aucun éleveur n’est prêt à payer plus de 10 000 et autour de 5% seulement sont prêts à payer plus de 5 000 FCFA. </w:t>
      </w:r>
    </w:p>
    <w:p w14:paraId="3C8A8305" w14:textId="3A979064" w:rsidR="00E74232" w:rsidRDefault="0093044E" w:rsidP="0056146E">
      <w:pPr>
        <w:pStyle w:val="Paragraphedeliste"/>
        <w:numPr>
          <w:ilvl w:val="0"/>
          <w:numId w:val="20"/>
        </w:numPr>
        <w:jc w:val="both"/>
      </w:pPr>
      <w:r>
        <w:t>Lorsqu’il s’agit des 5 plus importants ovins du troupeau,</w:t>
      </w:r>
      <w:r w:rsidR="00E74232">
        <w:t xml:space="preserve"> 20 à 25%</w:t>
      </w:r>
      <w:r>
        <w:t xml:space="preserve"> les éleveurs sont prêts à payer </w:t>
      </w:r>
      <w:r w:rsidR="00E74232">
        <w:t xml:space="preserve">3 000 FCFA. 15% ne sont pas prêts à payer pour assurer ces ovins et environs 15% aussi sont prêts à payer au moins 7500 pour avoir cette assurance. </w:t>
      </w:r>
      <w:r w:rsidR="00CE4955">
        <w:t xml:space="preserve">Somme toute, seuls près de 25% des éleveurs sont disposés à payer plus de 3000 FCFA pour assurer les 5 ovins les plus importants (avec autour de 10 à 15% des éleveurs qui sont prêts à payer 5 000 FCFA) contre 75% des éleveurs qui ne souhaitent pas payer plus de 3000 FCFA pour assurer leur bétail contre ce type de risque. </w:t>
      </w:r>
    </w:p>
    <w:p w14:paraId="11178ACE" w14:textId="1B274208" w:rsidR="0093044E" w:rsidRDefault="00E74232" w:rsidP="0056146E">
      <w:pPr>
        <w:pStyle w:val="Paragraphedeliste"/>
        <w:numPr>
          <w:ilvl w:val="0"/>
          <w:numId w:val="20"/>
        </w:numPr>
        <w:jc w:val="both"/>
      </w:pPr>
      <w:r>
        <w:t xml:space="preserve">Pour avoir une assurance qui couvre tout le </w:t>
      </w:r>
      <w:r w:rsidR="00623A66">
        <w:t xml:space="preserve">troupeau d’ovins, prêt de 30% des éleveurs sont prêts à payer plus de 10 000 FCFA pour avoir une assurance contre le retard des pluies et les pluies insuffisantes, un peu moins (autour de 25%) sont prêts à payer aussi plus de 10 000 FCFA pour s’assurer contre le vol du bétail et la mort naturelle alors que seuls 20% sont disposés à payer les mêmes montant pour avoir une assurance contre les intempéries. </w:t>
      </w:r>
    </w:p>
    <w:p w14:paraId="51C92904" w14:textId="6F93A116" w:rsidR="00E74232" w:rsidRDefault="00623A66" w:rsidP="0056146E">
      <w:pPr>
        <w:pStyle w:val="Paragraphedeliste"/>
        <w:numPr>
          <w:ilvl w:val="0"/>
          <w:numId w:val="20"/>
        </w:numPr>
        <w:jc w:val="both"/>
      </w:pPr>
      <w:r>
        <w:t xml:space="preserve">Pour </w:t>
      </w:r>
      <w:r w:rsidR="000F7AEE">
        <w:t>avoir une assurance qui est basée sur la valeur du bétail</w:t>
      </w:r>
      <w:r>
        <w:t xml:space="preserve"> à l’instar d’un capital de 100 000 FCFA des ovins, près de 25 % des éleveurs sont prêts à payer 3000 FCFA pour s’assurer contre le retard des pluies et les pluies insuffisantes. Autour de 28% souhaitent payer la même somme pour s’</w:t>
      </w:r>
      <w:r w:rsidR="00CE4955">
        <w:t>assurer contre les intempéries. Globalement, près de 70% des éleveurs souhaitent dépenser 3000 FCFA ou moins dans une assurance d’une valeur de 100 000 FCFA des ovins contre 70% qui sont disposés à payer plus de 3000 FCFA.</w:t>
      </w:r>
    </w:p>
    <w:p w14:paraId="5811AAFD" w14:textId="5CF65F1B" w:rsidR="0069064C" w:rsidRDefault="005E2966" w:rsidP="0069064C">
      <w:pPr>
        <w:keepNext/>
      </w:pPr>
      <w:r>
        <w:rPr>
          <w:noProof/>
          <w:lang w:eastAsia="fr-FR"/>
        </w:rPr>
        <w:drawing>
          <wp:inline distT="0" distB="0" distL="0" distR="0" wp14:anchorId="1A92E60A" wp14:editId="3118D794">
            <wp:extent cx="2844800" cy="3422650"/>
            <wp:effectExtent l="0" t="0" r="12700" b="6350"/>
            <wp:docPr id="57" name="Graphique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r w:rsidR="00570B4A">
        <w:rPr>
          <w:noProof/>
          <w:lang w:eastAsia="fr-FR"/>
        </w:rPr>
        <w:drawing>
          <wp:inline distT="0" distB="0" distL="0" distR="0" wp14:anchorId="3D93AAAC" wp14:editId="65074E17">
            <wp:extent cx="2838450" cy="3435350"/>
            <wp:effectExtent l="0" t="0" r="0" b="12700"/>
            <wp:docPr id="58" name="Graphique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38D99D34" w14:textId="636D4761" w:rsidR="0069064C" w:rsidRDefault="0069064C" w:rsidP="0069064C">
      <w:pPr>
        <w:pStyle w:val="Lgende"/>
      </w:pPr>
      <w:bookmarkStart w:id="106" w:name="_Toc17839443"/>
      <w:bookmarkStart w:id="107" w:name="_Toc17840191"/>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36</w:t>
      </w:r>
      <w:r w:rsidR="008339A9">
        <w:rPr>
          <w:noProof/>
        </w:rPr>
        <w:fldChar w:fldCharType="end"/>
      </w:r>
      <w:r>
        <w:t>: Consentement à payer: un ovin</w:t>
      </w:r>
      <w:r w:rsidR="00570B4A">
        <w:tab/>
      </w:r>
      <w:r w:rsidR="00570B4A">
        <w:tab/>
        <w:t xml:space="preserve">      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37</w:t>
      </w:r>
      <w:r w:rsidR="008339A9">
        <w:rPr>
          <w:noProof/>
        </w:rPr>
        <w:fldChar w:fldCharType="end"/>
      </w:r>
      <w:r w:rsidR="00570B4A">
        <w:t>: Consentement à payer: 5 plus importants ovins</w:t>
      </w:r>
      <w:bookmarkEnd w:id="106"/>
      <w:bookmarkEnd w:id="107"/>
    </w:p>
    <w:p w14:paraId="7CD04F19" w14:textId="6FECD848" w:rsidR="0069064C" w:rsidRDefault="0069064C" w:rsidP="0069064C">
      <w:pPr>
        <w:keepNext/>
      </w:pPr>
    </w:p>
    <w:p w14:paraId="6261183C" w14:textId="6D31F09E" w:rsidR="0069064C" w:rsidRDefault="005E2966" w:rsidP="0069064C">
      <w:pPr>
        <w:keepNext/>
      </w:pPr>
      <w:r>
        <w:rPr>
          <w:noProof/>
          <w:lang w:eastAsia="fr-FR"/>
        </w:rPr>
        <w:drawing>
          <wp:inline distT="0" distB="0" distL="0" distR="0" wp14:anchorId="3B6CF1A1" wp14:editId="30BFFEBE">
            <wp:extent cx="2832100" cy="3556000"/>
            <wp:effectExtent l="0" t="0" r="6350" b="6350"/>
            <wp:docPr id="59" name="Graphique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r w:rsidR="0069064C">
        <w:rPr>
          <w:noProof/>
          <w:lang w:eastAsia="fr-FR"/>
        </w:rPr>
        <w:drawing>
          <wp:inline distT="0" distB="0" distL="0" distR="0" wp14:anchorId="2FE8D30A" wp14:editId="11F4E101">
            <wp:extent cx="2857500" cy="3536950"/>
            <wp:effectExtent l="0" t="0" r="0" b="6350"/>
            <wp:docPr id="60" name="Graphique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222841D5" w14:textId="372604BF" w:rsidR="0069064C" w:rsidRDefault="0069064C" w:rsidP="0069064C">
      <w:pPr>
        <w:pStyle w:val="Lgende"/>
      </w:pPr>
      <w:bookmarkStart w:id="108" w:name="_Toc17839444"/>
      <w:bookmarkStart w:id="109" w:name="_Toc17840192"/>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38</w:t>
      </w:r>
      <w:r w:rsidR="008339A9">
        <w:rPr>
          <w:noProof/>
        </w:rPr>
        <w:fldChar w:fldCharType="end"/>
      </w:r>
      <w:r>
        <w:t>: Consentement à payer: tous les ovins</w:t>
      </w:r>
      <w:r>
        <w:tab/>
      </w:r>
      <w:r>
        <w:tab/>
        <w:t xml:space="preserve">      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39</w:t>
      </w:r>
      <w:r w:rsidR="008339A9">
        <w:rPr>
          <w:noProof/>
        </w:rPr>
        <w:fldChar w:fldCharType="end"/>
      </w:r>
      <w:r>
        <w:t>: Consentement à payer : valeur de 100 000 FCFA</w:t>
      </w:r>
      <w:bookmarkEnd w:id="108"/>
      <w:bookmarkEnd w:id="109"/>
    </w:p>
    <w:p w14:paraId="6D081EE3" w14:textId="327A99F9" w:rsidR="004830A9" w:rsidRDefault="004830A9" w:rsidP="0056146E">
      <w:pPr>
        <w:pStyle w:val="Paragraphedeliste"/>
        <w:numPr>
          <w:ilvl w:val="0"/>
          <w:numId w:val="4"/>
        </w:numPr>
        <w:jc w:val="both"/>
      </w:pPr>
      <w:r w:rsidRPr="004830A9">
        <w:t>Caprins</w:t>
      </w:r>
    </w:p>
    <w:p w14:paraId="2471C332" w14:textId="55A4686A" w:rsidR="00972C28" w:rsidRDefault="00972C28" w:rsidP="0056146E">
      <w:pPr>
        <w:pStyle w:val="Paragraphedeliste"/>
        <w:numPr>
          <w:ilvl w:val="0"/>
          <w:numId w:val="21"/>
        </w:numPr>
        <w:jc w:val="both"/>
      </w:pPr>
      <w:r>
        <w:t xml:space="preserve">Pour une seule tête de caprins, autour de 40% des éleveurs ne souhaitent payer que 500 FCFA pour l’assurer contre les risques étudiés. </w:t>
      </w:r>
      <w:r w:rsidR="00BC5209">
        <w:t xml:space="preserve">Autour de 25% ne sont pas prêt à payer pour assurer une chèvre. Ce qui fait que dont près de 65 à 70% des éleveurs ne veulent pas payer plus de 500 FCFA par année pour une chèvre. </w:t>
      </w:r>
    </w:p>
    <w:p w14:paraId="1F46A013" w14:textId="0D97C048" w:rsidR="00BC5209" w:rsidRDefault="00BC5209" w:rsidP="0056146E">
      <w:pPr>
        <w:pStyle w:val="Paragraphedeliste"/>
        <w:numPr>
          <w:ilvl w:val="0"/>
          <w:numId w:val="21"/>
        </w:numPr>
        <w:jc w:val="both"/>
      </w:pPr>
      <w:r>
        <w:t xml:space="preserve">Quant-il s’agit d’assurer les 5 caprins les plus importants, entre 25 à 30% des éleveurs sont </w:t>
      </w:r>
      <w:r w:rsidR="008F4BB1">
        <w:t>prêts</w:t>
      </w:r>
      <w:r>
        <w:t xml:space="preserve"> à payer</w:t>
      </w:r>
      <w:r w:rsidR="008F4BB1">
        <w:t xml:space="preserve"> autour de 3000 FCFA par année. Entre 10 et 15% souhaitent payer 5000 FCFA et autour de 10% des éleveurs veulent payer 10 000 FCFA ou plus. Par contre, il demeure autour de 10 à 15% des éleveurs qui ne souhaitent pas du tout payer pour assurer les 5 caprins les plus importants de leur troupeau à leurs yeux.</w:t>
      </w:r>
    </w:p>
    <w:p w14:paraId="11B8443B" w14:textId="5C3D50CA" w:rsidR="000F7AEE" w:rsidRDefault="000F7AEE" w:rsidP="0056146E">
      <w:pPr>
        <w:pStyle w:val="Paragraphedeliste"/>
        <w:numPr>
          <w:ilvl w:val="0"/>
          <w:numId w:val="21"/>
        </w:numPr>
        <w:jc w:val="both"/>
      </w:pPr>
      <w:r>
        <w:t xml:space="preserve">Pour tout le troupeau de caprins, les montants à payer sont nettement supérieurs avec près de 60% </w:t>
      </w:r>
      <w:r w:rsidR="00892505">
        <w:t xml:space="preserve">des éleveurs </w:t>
      </w:r>
      <w:r>
        <w:t xml:space="preserve">qui sont prêts à payer au minimum 5000 FCFA. </w:t>
      </w:r>
      <w:r w:rsidR="00892505">
        <w:t>Par ailleurs, e</w:t>
      </w:r>
      <w:r>
        <w:t>nviron 40% sont prêts à payer 10 000 FCFA ou plus.</w:t>
      </w:r>
    </w:p>
    <w:p w14:paraId="37513465" w14:textId="5A5BD0E3" w:rsidR="00892505" w:rsidRPr="004830A9" w:rsidRDefault="00892505" w:rsidP="0056146E">
      <w:pPr>
        <w:pStyle w:val="Paragraphedeliste"/>
        <w:numPr>
          <w:ilvl w:val="0"/>
          <w:numId w:val="21"/>
        </w:numPr>
        <w:jc w:val="both"/>
      </w:pPr>
      <w:r>
        <w:t xml:space="preserve">Enfin pour assurer une valeur de 100 000 FCFA du troupeau de caprins, environ 30% des éleveurs sont prêts à payer 3000 FCFA sauf pour le risque d’intempérie ou un net contraste est noté. </w:t>
      </w:r>
      <w:r w:rsidR="00786693">
        <w:t xml:space="preserve">En effet, près de 35% à 40% des éleveurs sont prêts à payer 10 000 FCFA ou plus pour assurer leur caprins contre les </w:t>
      </w:r>
      <w:r w:rsidR="00CB4395">
        <w:t xml:space="preserve">intempéries contre alors que moins de 20% des éleveurs sont prêts à payer autant quand il s’agit des autres </w:t>
      </w:r>
      <w:r w:rsidR="00786693">
        <w:t xml:space="preserve">risques. </w:t>
      </w:r>
    </w:p>
    <w:p w14:paraId="6937833D" w14:textId="5B84D1F8" w:rsidR="006325B9" w:rsidRDefault="009854D7" w:rsidP="006325B9">
      <w:pPr>
        <w:keepNext/>
      </w:pPr>
      <w:r>
        <w:rPr>
          <w:noProof/>
          <w:lang w:eastAsia="fr-FR"/>
        </w:rPr>
        <w:lastRenderedPageBreak/>
        <w:drawing>
          <wp:inline distT="0" distB="0" distL="0" distR="0" wp14:anchorId="19D1218C" wp14:editId="07572DBC">
            <wp:extent cx="2844800" cy="3549650"/>
            <wp:effectExtent l="0" t="0" r="12700" b="12700"/>
            <wp:docPr id="61" name="Graphique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r w:rsidR="00BF42E2">
        <w:rPr>
          <w:noProof/>
          <w:lang w:eastAsia="fr-FR"/>
        </w:rPr>
        <w:drawing>
          <wp:inline distT="0" distB="0" distL="0" distR="0" wp14:anchorId="11780D55" wp14:editId="45A4417B">
            <wp:extent cx="2851150" cy="3562350"/>
            <wp:effectExtent l="0" t="0" r="6350" b="0"/>
            <wp:docPr id="62" name="Graphique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31D3CD4F" w14:textId="453E9F2C" w:rsidR="00321086" w:rsidRDefault="006325B9" w:rsidP="00BF42E2">
      <w:pPr>
        <w:pStyle w:val="Lgende"/>
      </w:pPr>
      <w:bookmarkStart w:id="110" w:name="_Toc17839445"/>
      <w:bookmarkStart w:id="111" w:name="_Toc17840193"/>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40</w:t>
      </w:r>
      <w:r w:rsidR="008339A9">
        <w:rPr>
          <w:noProof/>
        </w:rPr>
        <w:fldChar w:fldCharType="end"/>
      </w:r>
      <w:r>
        <w:t>: Consentement à payer: par tête de caprins</w:t>
      </w:r>
      <w:r w:rsidR="00BF42E2">
        <w:tab/>
        <w:t xml:space="preserve">       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41</w:t>
      </w:r>
      <w:r w:rsidR="008339A9">
        <w:rPr>
          <w:noProof/>
        </w:rPr>
        <w:fldChar w:fldCharType="end"/>
      </w:r>
      <w:r w:rsidR="00BF42E2">
        <w:t>: Consentement à payer: 5 plus importants caprins</w:t>
      </w:r>
      <w:bookmarkEnd w:id="110"/>
      <w:bookmarkEnd w:id="111"/>
    </w:p>
    <w:p w14:paraId="488B5ECD" w14:textId="3D1E75F6" w:rsidR="00321086" w:rsidRDefault="009854D7" w:rsidP="00321086">
      <w:pPr>
        <w:keepNext/>
      </w:pPr>
      <w:r>
        <w:rPr>
          <w:noProof/>
          <w:lang w:eastAsia="fr-FR"/>
        </w:rPr>
        <w:drawing>
          <wp:inline distT="0" distB="0" distL="0" distR="0" wp14:anchorId="70359298" wp14:editId="1BCE76B9">
            <wp:extent cx="2844800" cy="3829050"/>
            <wp:effectExtent l="0" t="0" r="12700" b="0"/>
            <wp:docPr id="63" name="Graphique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r w:rsidR="00321086">
        <w:rPr>
          <w:noProof/>
          <w:lang w:eastAsia="fr-FR"/>
        </w:rPr>
        <w:drawing>
          <wp:inline distT="0" distB="0" distL="0" distR="0" wp14:anchorId="40390BAC" wp14:editId="67819654">
            <wp:extent cx="2844800" cy="3803650"/>
            <wp:effectExtent l="0" t="0" r="12700" b="6350"/>
            <wp:docPr id="192" name="Graphique 192"/>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25C0B95D" w14:textId="76E755E0" w:rsidR="00321086" w:rsidRDefault="00321086" w:rsidP="00321086">
      <w:pPr>
        <w:pStyle w:val="Lgende"/>
      </w:pPr>
      <w:bookmarkStart w:id="112" w:name="_Toc17839446"/>
      <w:bookmarkStart w:id="113" w:name="_Toc17840194"/>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42</w:t>
      </w:r>
      <w:r w:rsidR="008339A9">
        <w:rPr>
          <w:noProof/>
        </w:rPr>
        <w:fldChar w:fldCharType="end"/>
      </w:r>
      <w:r>
        <w:t>: Consentement à payer: tous les caprins</w:t>
      </w:r>
      <w:r>
        <w:tab/>
        <w:t xml:space="preserve">       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43</w:t>
      </w:r>
      <w:r w:rsidR="008339A9">
        <w:rPr>
          <w:noProof/>
        </w:rPr>
        <w:fldChar w:fldCharType="end"/>
      </w:r>
      <w:r>
        <w:t>: Consentement à payer: valeur de 100 000 FCFA</w:t>
      </w:r>
      <w:bookmarkEnd w:id="112"/>
      <w:bookmarkEnd w:id="113"/>
    </w:p>
    <w:p w14:paraId="5463FDD8" w14:textId="0361FBE8" w:rsidR="004830A9" w:rsidRDefault="00E74F1B" w:rsidP="00861EC1">
      <w:pPr>
        <w:jc w:val="both"/>
      </w:pPr>
      <w:r>
        <w:t>Nous</w:t>
      </w:r>
      <w:r w:rsidR="004830A9">
        <w:t xml:space="preserve"> notons au sortir de cette analyse qu’il n’y a pas une grande différence entre les montants que les éleveurs sont prêts à payer pour avoir une assurance de leur bétail contre </w:t>
      </w:r>
      <w:r w:rsidR="00E65543">
        <w:t xml:space="preserve">les différents types de risques quel que soit le type de bétail qu’il souhaite assurer. Toutefois, </w:t>
      </w:r>
      <w:r w:rsidR="006D3660">
        <w:t xml:space="preserve">les risques liés à la pluviométrie sont les risques qui semblent dominer dans leur consentement à payer. De même, les montants qu’ils </w:t>
      </w:r>
      <w:r w:rsidR="006D3660">
        <w:lastRenderedPageBreak/>
        <w:t xml:space="preserve">sont disposés à payer ne varient fortement que lorsque le capital couvert varie et ces montants varient peu lorsque l’on passe d’un type de bétail à un autre. Le tableau suivant résume les montants des consentements à payer les pus déclarés selon que l’on passe d’un type de bétail à un autre et d’un mode de couverture à un autre. </w:t>
      </w:r>
    </w:p>
    <w:p w14:paraId="3DB24B34" w14:textId="3D67AC12" w:rsidR="00B06352" w:rsidRDefault="00B06352" w:rsidP="00B06352">
      <w:pPr>
        <w:pStyle w:val="Lgende"/>
        <w:keepNext/>
      </w:pPr>
      <w:bookmarkStart w:id="114" w:name="_Toc17840240"/>
      <w:r>
        <w:t xml:space="preserve">Tableau </w:t>
      </w:r>
      <w:r w:rsidR="008339A9">
        <w:rPr>
          <w:noProof/>
        </w:rPr>
        <w:fldChar w:fldCharType="begin"/>
      </w:r>
      <w:r w:rsidR="008339A9">
        <w:rPr>
          <w:noProof/>
        </w:rPr>
        <w:instrText xml:space="preserve"> S</w:instrText>
      </w:r>
      <w:r w:rsidR="008339A9">
        <w:rPr>
          <w:noProof/>
        </w:rPr>
        <w:instrText xml:space="preserve">EQ Tableau \* ARABIC </w:instrText>
      </w:r>
      <w:r w:rsidR="008339A9">
        <w:rPr>
          <w:noProof/>
        </w:rPr>
        <w:fldChar w:fldCharType="separate"/>
      </w:r>
      <w:r w:rsidR="00870393">
        <w:rPr>
          <w:noProof/>
        </w:rPr>
        <w:t>3</w:t>
      </w:r>
      <w:r w:rsidR="008339A9">
        <w:rPr>
          <w:noProof/>
        </w:rPr>
        <w:fldChar w:fldCharType="end"/>
      </w:r>
      <w:r>
        <w:t xml:space="preserve">: Intervalle des consentements à payer les plus déclarés par les </w:t>
      </w:r>
      <w:r w:rsidR="0095088B">
        <w:t>éleveurs</w:t>
      </w:r>
      <w:bookmarkEnd w:id="114"/>
    </w:p>
    <w:tbl>
      <w:tblPr>
        <w:tblStyle w:val="Grilledutableau"/>
        <w:tblW w:w="5000" w:type="pct"/>
        <w:tblLook w:val="04A0" w:firstRow="1" w:lastRow="0" w:firstColumn="1" w:lastColumn="0" w:noHBand="0" w:noVBand="1"/>
      </w:tblPr>
      <w:tblGrid>
        <w:gridCol w:w="3969"/>
        <w:gridCol w:w="1699"/>
        <w:gridCol w:w="1703"/>
        <w:gridCol w:w="1696"/>
      </w:tblGrid>
      <w:tr w:rsidR="00B06352" w14:paraId="36985C64" w14:textId="77777777" w:rsidTr="0095088B">
        <w:tc>
          <w:tcPr>
            <w:tcW w:w="2189" w:type="pct"/>
            <w:tcBorders>
              <w:top w:val="nil"/>
              <w:left w:val="nil"/>
              <w:bottom w:val="nil"/>
            </w:tcBorders>
          </w:tcPr>
          <w:p w14:paraId="7E4B9B79" w14:textId="77777777" w:rsidR="00B06352" w:rsidRDefault="00B06352" w:rsidP="00861EC1">
            <w:pPr>
              <w:jc w:val="both"/>
            </w:pPr>
          </w:p>
        </w:tc>
        <w:tc>
          <w:tcPr>
            <w:tcW w:w="2811" w:type="pct"/>
            <w:gridSpan w:val="3"/>
          </w:tcPr>
          <w:p w14:paraId="35EF40DE" w14:textId="18D2E82A" w:rsidR="00B06352" w:rsidRDefault="00B06352" w:rsidP="00861EC1">
            <w:pPr>
              <w:jc w:val="both"/>
            </w:pPr>
            <w:r>
              <w:t xml:space="preserve">Intervalle des consentements à payer les plus déclarés </w:t>
            </w:r>
          </w:p>
        </w:tc>
      </w:tr>
      <w:tr w:rsidR="00B06352" w14:paraId="375717F1" w14:textId="77777777" w:rsidTr="0095088B">
        <w:tc>
          <w:tcPr>
            <w:tcW w:w="2189" w:type="pct"/>
            <w:tcBorders>
              <w:top w:val="nil"/>
              <w:left w:val="nil"/>
            </w:tcBorders>
          </w:tcPr>
          <w:p w14:paraId="7A5F9311" w14:textId="77777777" w:rsidR="00B06352" w:rsidRDefault="00B06352" w:rsidP="00AB2E76">
            <w:pPr>
              <w:jc w:val="both"/>
            </w:pPr>
          </w:p>
        </w:tc>
        <w:tc>
          <w:tcPr>
            <w:tcW w:w="937" w:type="pct"/>
          </w:tcPr>
          <w:p w14:paraId="3F99F4A7" w14:textId="77777777" w:rsidR="00B06352" w:rsidRDefault="00B06352" w:rsidP="00AB2E76">
            <w:pPr>
              <w:jc w:val="both"/>
            </w:pPr>
            <w:r>
              <w:t>Bovins</w:t>
            </w:r>
          </w:p>
        </w:tc>
        <w:tc>
          <w:tcPr>
            <w:tcW w:w="939" w:type="pct"/>
          </w:tcPr>
          <w:p w14:paraId="104B7FB7" w14:textId="77777777" w:rsidR="00B06352" w:rsidRDefault="00B06352" w:rsidP="00AB2E76">
            <w:pPr>
              <w:jc w:val="both"/>
            </w:pPr>
            <w:r>
              <w:t>Ovins</w:t>
            </w:r>
          </w:p>
        </w:tc>
        <w:tc>
          <w:tcPr>
            <w:tcW w:w="935" w:type="pct"/>
          </w:tcPr>
          <w:p w14:paraId="3B6F492D" w14:textId="77777777" w:rsidR="00B06352" w:rsidRDefault="00B06352" w:rsidP="00AB2E76">
            <w:pPr>
              <w:jc w:val="both"/>
            </w:pPr>
            <w:r>
              <w:t>Caprins</w:t>
            </w:r>
          </w:p>
        </w:tc>
      </w:tr>
      <w:tr w:rsidR="006D3660" w14:paraId="676196D0" w14:textId="77777777" w:rsidTr="00B06352">
        <w:tc>
          <w:tcPr>
            <w:tcW w:w="2189" w:type="pct"/>
          </w:tcPr>
          <w:p w14:paraId="0E1D36B5" w14:textId="37166751" w:rsidR="006D3660" w:rsidRDefault="006D3660" w:rsidP="00861EC1">
            <w:pPr>
              <w:jc w:val="both"/>
            </w:pPr>
            <w:r>
              <w:t>Chaque tête de bétail</w:t>
            </w:r>
          </w:p>
        </w:tc>
        <w:tc>
          <w:tcPr>
            <w:tcW w:w="937" w:type="pct"/>
          </w:tcPr>
          <w:p w14:paraId="51A6F65D" w14:textId="6F726D58" w:rsidR="006D3660" w:rsidRDefault="00B06352" w:rsidP="0056146E">
            <w:pPr>
              <w:pStyle w:val="Paragraphedeliste"/>
              <w:numPr>
                <w:ilvl w:val="0"/>
                <w:numId w:val="23"/>
              </w:numPr>
              <w:jc w:val="center"/>
            </w:pPr>
            <w:r>
              <w:t>- 3000</w:t>
            </w:r>
          </w:p>
        </w:tc>
        <w:tc>
          <w:tcPr>
            <w:tcW w:w="939" w:type="pct"/>
          </w:tcPr>
          <w:p w14:paraId="0D462F6C" w14:textId="5FB3632B" w:rsidR="006D3660" w:rsidRDefault="004C1F75" w:rsidP="004C1F75">
            <w:pPr>
              <w:ind w:left="360"/>
            </w:pPr>
            <w:r>
              <w:t xml:space="preserve">500 </w:t>
            </w:r>
            <w:r w:rsidR="00B06352">
              <w:t>– 1000</w:t>
            </w:r>
          </w:p>
        </w:tc>
        <w:tc>
          <w:tcPr>
            <w:tcW w:w="935" w:type="pct"/>
          </w:tcPr>
          <w:p w14:paraId="0A25CE22" w14:textId="1469EA7E" w:rsidR="006D3660" w:rsidRDefault="00B06352" w:rsidP="0095088B">
            <w:pPr>
              <w:ind w:left="360"/>
              <w:jc w:val="center"/>
            </w:pPr>
            <w:r>
              <w:t>0 – 500</w:t>
            </w:r>
          </w:p>
        </w:tc>
      </w:tr>
      <w:tr w:rsidR="006D3660" w14:paraId="0FE51942" w14:textId="77777777" w:rsidTr="00B06352">
        <w:tc>
          <w:tcPr>
            <w:tcW w:w="2189" w:type="pct"/>
          </w:tcPr>
          <w:p w14:paraId="73CF7E63" w14:textId="69FC324E" w:rsidR="006D3660" w:rsidRDefault="006D3660" w:rsidP="00861EC1">
            <w:pPr>
              <w:jc w:val="both"/>
            </w:pPr>
            <w:r>
              <w:t>Les 5 têtes les plus importantes</w:t>
            </w:r>
          </w:p>
        </w:tc>
        <w:tc>
          <w:tcPr>
            <w:tcW w:w="937" w:type="pct"/>
          </w:tcPr>
          <w:p w14:paraId="33576CA7" w14:textId="2BB4E818" w:rsidR="006D3660" w:rsidRDefault="00B06352" w:rsidP="0095088B">
            <w:pPr>
              <w:jc w:val="center"/>
            </w:pPr>
            <w:r>
              <w:t>3000 – plus de 10 000</w:t>
            </w:r>
          </w:p>
        </w:tc>
        <w:tc>
          <w:tcPr>
            <w:tcW w:w="939" w:type="pct"/>
          </w:tcPr>
          <w:p w14:paraId="3BF00488" w14:textId="715BAD12" w:rsidR="006D3660" w:rsidRDefault="00B06352" w:rsidP="0095088B">
            <w:pPr>
              <w:jc w:val="center"/>
            </w:pPr>
            <w:r>
              <w:t>500 – 5000</w:t>
            </w:r>
          </w:p>
        </w:tc>
        <w:tc>
          <w:tcPr>
            <w:tcW w:w="935" w:type="pct"/>
          </w:tcPr>
          <w:p w14:paraId="21608BEF" w14:textId="34367BF4" w:rsidR="006D3660" w:rsidRDefault="00B06352" w:rsidP="0095088B">
            <w:pPr>
              <w:jc w:val="center"/>
            </w:pPr>
            <w:r>
              <w:t>500 – 5000</w:t>
            </w:r>
          </w:p>
        </w:tc>
      </w:tr>
      <w:tr w:rsidR="006D3660" w14:paraId="2845738C" w14:textId="77777777" w:rsidTr="00B06352">
        <w:tc>
          <w:tcPr>
            <w:tcW w:w="2189" w:type="pct"/>
          </w:tcPr>
          <w:p w14:paraId="2FA6CB5E" w14:textId="549F2EBA" w:rsidR="006D3660" w:rsidRDefault="006D3660" w:rsidP="00861EC1">
            <w:pPr>
              <w:jc w:val="both"/>
            </w:pPr>
            <w:r>
              <w:t>Tout le troupeau</w:t>
            </w:r>
          </w:p>
        </w:tc>
        <w:tc>
          <w:tcPr>
            <w:tcW w:w="937" w:type="pct"/>
          </w:tcPr>
          <w:p w14:paraId="7344B45E" w14:textId="03FECE3C" w:rsidR="006D3660" w:rsidRDefault="00B06352" w:rsidP="0095088B">
            <w:pPr>
              <w:jc w:val="center"/>
            </w:pPr>
            <w:r>
              <w:t>Plus de 10 000 FCFA</w:t>
            </w:r>
          </w:p>
        </w:tc>
        <w:tc>
          <w:tcPr>
            <w:tcW w:w="939" w:type="pct"/>
          </w:tcPr>
          <w:p w14:paraId="2DC875EE" w14:textId="3E559BAC" w:rsidR="006D3660" w:rsidRDefault="00B06352" w:rsidP="0095088B">
            <w:pPr>
              <w:jc w:val="center"/>
            </w:pPr>
            <w:r>
              <w:t>10 000 – plus de 10 000</w:t>
            </w:r>
          </w:p>
        </w:tc>
        <w:tc>
          <w:tcPr>
            <w:tcW w:w="935" w:type="pct"/>
          </w:tcPr>
          <w:p w14:paraId="6B7CA7FD" w14:textId="3DDDA120" w:rsidR="006D3660" w:rsidRDefault="00B06352" w:rsidP="0095088B">
            <w:pPr>
              <w:jc w:val="center"/>
            </w:pPr>
            <w:r>
              <w:t>3 000 – plus de 10 000</w:t>
            </w:r>
          </w:p>
        </w:tc>
      </w:tr>
      <w:tr w:rsidR="006D3660" w14:paraId="39E2941A" w14:textId="77777777" w:rsidTr="00B06352">
        <w:tc>
          <w:tcPr>
            <w:tcW w:w="2189" w:type="pct"/>
          </w:tcPr>
          <w:p w14:paraId="25E386B3" w14:textId="03BC7582" w:rsidR="006D3660" w:rsidRDefault="006D3660" w:rsidP="00861EC1">
            <w:pPr>
              <w:jc w:val="both"/>
            </w:pPr>
            <w:r>
              <w:t>Chaque valeur de 100 000 FCFA du troupeau</w:t>
            </w:r>
          </w:p>
        </w:tc>
        <w:tc>
          <w:tcPr>
            <w:tcW w:w="937" w:type="pct"/>
          </w:tcPr>
          <w:p w14:paraId="0E6CF6F0" w14:textId="205B7361" w:rsidR="006D3660" w:rsidRDefault="00B06352" w:rsidP="0095088B">
            <w:pPr>
              <w:jc w:val="center"/>
            </w:pPr>
            <w:r>
              <w:t>3000 – 10 000</w:t>
            </w:r>
          </w:p>
        </w:tc>
        <w:tc>
          <w:tcPr>
            <w:tcW w:w="939" w:type="pct"/>
          </w:tcPr>
          <w:p w14:paraId="054A0D8A" w14:textId="0D7F2D46" w:rsidR="006D3660" w:rsidRDefault="00B06352" w:rsidP="0095088B">
            <w:pPr>
              <w:jc w:val="center"/>
            </w:pPr>
            <w:r>
              <w:t>3000</w:t>
            </w:r>
          </w:p>
        </w:tc>
        <w:tc>
          <w:tcPr>
            <w:tcW w:w="935" w:type="pct"/>
          </w:tcPr>
          <w:p w14:paraId="6E11BF3E" w14:textId="7541DC4A" w:rsidR="006D3660" w:rsidRDefault="00B06352" w:rsidP="0095088B">
            <w:pPr>
              <w:jc w:val="center"/>
            </w:pPr>
            <w:r>
              <w:t>3000</w:t>
            </w:r>
          </w:p>
        </w:tc>
      </w:tr>
    </w:tbl>
    <w:p w14:paraId="43A5236C" w14:textId="2AC0469B" w:rsidR="006D3660" w:rsidRDefault="006D3660" w:rsidP="00861EC1">
      <w:pPr>
        <w:jc w:val="both"/>
      </w:pPr>
    </w:p>
    <w:p w14:paraId="2D618081" w14:textId="280EA4CB" w:rsidR="0095088B" w:rsidRDefault="0095088B" w:rsidP="00861EC1">
      <w:pPr>
        <w:jc w:val="both"/>
      </w:pPr>
      <w:r>
        <w:t>L’analyse du tableau révèle d’abord que comme on pouvait s’y attendre, les consentements à payer des éleveurs sont plus importants pour les bovins, suivi des ovins et des caprins. De même, il y a une certaine logique dans les déclarations lorsque les animaux sont pris par unité. En effet, les éleveurs semblent raisonner en termes d’Unité de Bétail Tropical (UBT) en déclarant leur consentement à payer car selon les valeurs déclarées sont plus élevés pour une unité de bovins que pour une unité d’ovins. Le même constat est aussi effectué entre les ovins et les caprins.</w:t>
      </w:r>
    </w:p>
    <w:p w14:paraId="4705CF25" w14:textId="71487B6F" w:rsidR="00596052" w:rsidRDefault="00596052" w:rsidP="0056146E">
      <w:pPr>
        <w:pStyle w:val="Titre3"/>
        <w:numPr>
          <w:ilvl w:val="0"/>
          <w:numId w:val="17"/>
        </w:numPr>
      </w:pPr>
      <w:bookmarkStart w:id="115" w:name="_Toc17840346"/>
      <w:r>
        <w:t>Le consentement à payer selon le genre, le niveau d’éducation et la taille du troupeau</w:t>
      </w:r>
      <w:bookmarkEnd w:id="115"/>
    </w:p>
    <w:p w14:paraId="44E88BD8" w14:textId="77777777" w:rsidR="00596052" w:rsidRDefault="00596052" w:rsidP="00596052">
      <w:pPr>
        <w:jc w:val="both"/>
      </w:pPr>
      <w:r>
        <w:t xml:space="preserve">Un test de significativité de la différence sur le consentement à payer pour s’assurer entre les hommes et les femmes qui sont responsables des troupeaux montre que ce sont les hommes qui sont significativement plus disposés à acheter l’assurance comparés aux femmes. En termes de nombres de bêtes détenues par les éleveurs, l’analyse de la différence en terme d’acceptation à payer pour s’assurer ou pas montre que les éleveurs qui ont plus têtes de bétail (que ce soit des bovins, des ovins ou des caprins sont significativement plus disposés à acheter l’assurance. Par contre, l’analyse de la relation entre le niveau d’étude et le consentement à payer pour l’assurer ne révèle aucune relation significative entre les deux, quel que soit le niveau d’éducation (aucun niveau, niveau primaire, moyen, secondaire, ou supérieur). </w:t>
      </w:r>
    </w:p>
    <w:p w14:paraId="2849A94C" w14:textId="5FBEC282" w:rsidR="00596052" w:rsidRDefault="00596052" w:rsidP="00596052">
      <w:pPr>
        <w:pStyle w:val="Lgende"/>
        <w:keepNext/>
      </w:pPr>
      <w:bookmarkStart w:id="116" w:name="_Toc17840241"/>
      <w:r>
        <w:t xml:space="preserve">Tableau </w:t>
      </w:r>
      <w:r w:rsidR="008339A9">
        <w:rPr>
          <w:noProof/>
        </w:rPr>
        <w:fldChar w:fldCharType="begin"/>
      </w:r>
      <w:r w:rsidR="008339A9">
        <w:rPr>
          <w:noProof/>
        </w:rPr>
        <w:instrText xml:space="preserve"> SEQ Tableau \* ARABIC </w:instrText>
      </w:r>
      <w:r w:rsidR="008339A9">
        <w:rPr>
          <w:noProof/>
        </w:rPr>
        <w:fldChar w:fldCharType="separate"/>
      </w:r>
      <w:r w:rsidR="00870393">
        <w:rPr>
          <w:noProof/>
        </w:rPr>
        <w:t>4</w:t>
      </w:r>
      <w:r w:rsidR="008339A9">
        <w:rPr>
          <w:noProof/>
        </w:rPr>
        <w:fldChar w:fldCharType="end"/>
      </w:r>
      <w:r>
        <w:t xml:space="preserve">: </w:t>
      </w:r>
      <w:r w:rsidRPr="005F05EC">
        <w:t>Résultats des tests de significativité de la différence entre les producteurs qui ont consentement à payer pour l’assurer positif et ceux qui ne souhaitent pas acheter l’assurance.</w:t>
      </w:r>
      <w:bookmarkEnd w:id="116"/>
    </w:p>
    <w:tbl>
      <w:tblPr>
        <w:tblW w:w="5000" w:type="pct"/>
        <w:tblLook w:val="0000" w:firstRow="0" w:lastRow="0" w:firstColumn="0" w:lastColumn="0" w:noHBand="0" w:noVBand="0"/>
      </w:tblPr>
      <w:tblGrid>
        <w:gridCol w:w="1556"/>
        <w:gridCol w:w="287"/>
        <w:gridCol w:w="653"/>
        <w:gridCol w:w="940"/>
        <w:gridCol w:w="940"/>
        <w:gridCol w:w="940"/>
        <w:gridCol w:w="940"/>
        <w:gridCol w:w="940"/>
        <w:gridCol w:w="940"/>
        <w:gridCol w:w="936"/>
      </w:tblGrid>
      <w:tr w:rsidR="00596052" w14:paraId="0945732B" w14:textId="77777777" w:rsidTr="004131F6">
        <w:tc>
          <w:tcPr>
            <w:tcW w:w="858" w:type="pct"/>
            <w:tcBorders>
              <w:top w:val="single" w:sz="4" w:space="0" w:color="auto"/>
              <w:left w:val="nil"/>
              <w:bottom w:val="single" w:sz="10" w:space="0" w:color="auto"/>
              <w:right w:val="nil"/>
            </w:tcBorders>
          </w:tcPr>
          <w:p w14:paraId="2CF09B8E" w14:textId="77777777" w:rsidR="00596052" w:rsidRPr="009D3315" w:rsidRDefault="00596052" w:rsidP="004131F6">
            <w:pPr>
              <w:widowControl w:val="0"/>
              <w:autoSpaceDE w:val="0"/>
              <w:autoSpaceDN w:val="0"/>
              <w:adjustRightInd w:val="0"/>
              <w:spacing w:after="0" w:line="240" w:lineRule="auto"/>
              <w:jc w:val="right"/>
              <w:rPr>
                <w:rFonts w:ascii="Garamond" w:hAnsi="Garamond"/>
                <w:sz w:val="20"/>
                <w:szCs w:val="20"/>
              </w:rPr>
            </w:pPr>
            <w:r w:rsidRPr="009D3315">
              <w:rPr>
                <w:rFonts w:ascii="Garamond" w:hAnsi="Garamond"/>
                <w:sz w:val="20"/>
                <w:szCs w:val="20"/>
              </w:rPr>
              <w:t xml:space="preserve">  </w:t>
            </w:r>
          </w:p>
        </w:tc>
        <w:tc>
          <w:tcPr>
            <w:tcW w:w="518" w:type="pct"/>
            <w:gridSpan w:val="2"/>
            <w:tcBorders>
              <w:top w:val="single" w:sz="4" w:space="0" w:color="auto"/>
              <w:left w:val="nil"/>
              <w:bottom w:val="single" w:sz="10" w:space="0" w:color="auto"/>
              <w:right w:val="nil"/>
            </w:tcBorders>
          </w:tcPr>
          <w:p w14:paraId="258C7359"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sidRPr="009D3315">
              <w:rPr>
                <w:rFonts w:ascii="Garamond" w:hAnsi="Garamond"/>
                <w:sz w:val="20"/>
                <w:szCs w:val="20"/>
              </w:rPr>
              <w:t xml:space="preserve">  </w:t>
            </w:r>
            <w:r>
              <w:rPr>
                <w:rFonts w:ascii="Garamond" w:hAnsi="Garamond"/>
                <w:sz w:val="20"/>
                <w:szCs w:val="20"/>
                <w:lang w:val="en-US"/>
              </w:rPr>
              <w:t xml:space="preserve">obs1 </w:t>
            </w:r>
          </w:p>
        </w:tc>
        <w:tc>
          <w:tcPr>
            <w:tcW w:w="518" w:type="pct"/>
            <w:tcBorders>
              <w:top w:val="single" w:sz="4" w:space="0" w:color="auto"/>
              <w:left w:val="nil"/>
              <w:bottom w:val="single" w:sz="10" w:space="0" w:color="auto"/>
              <w:right w:val="nil"/>
            </w:tcBorders>
          </w:tcPr>
          <w:p w14:paraId="1831F23B"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 xml:space="preserve">  obs2 </w:t>
            </w:r>
          </w:p>
        </w:tc>
        <w:tc>
          <w:tcPr>
            <w:tcW w:w="518" w:type="pct"/>
            <w:tcBorders>
              <w:top w:val="single" w:sz="4" w:space="0" w:color="auto"/>
              <w:left w:val="nil"/>
              <w:bottom w:val="single" w:sz="10" w:space="0" w:color="auto"/>
              <w:right w:val="nil"/>
            </w:tcBorders>
          </w:tcPr>
          <w:p w14:paraId="4F266D31"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 xml:space="preserve">  Mean1 </w:t>
            </w:r>
          </w:p>
        </w:tc>
        <w:tc>
          <w:tcPr>
            <w:tcW w:w="518" w:type="pct"/>
            <w:tcBorders>
              <w:top w:val="single" w:sz="4" w:space="0" w:color="auto"/>
              <w:left w:val="nil"/>
              <w:bottom w:val="single" w:sz="10" w:space="0" w:color="auto"/>
              <w:right w:val="nil"/>
            </w:tcBorders>
          </w:tcPr>
          <w:p w14:paraId="1037CDA4"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 xml:space="preserve">  Mean2 </w:t>
            </w:r>
          </w:p>
        </w:tc>
        <w:tc>
          <w:tcPr>
            <w:tcW w:w="518" w:type="pct"/>
            <w:tcBorders>
              <w:top w:val="single" w:sz="4" w:space="0" w:color="auto"/>
              <w:left w:val="nil"/>
              <w:bottom w:val="single" w:sz="10" w:space="0" w:color="auto"/>
              <w:right w:val="nil"/>
            </w:tcBorders>
          </w:tcPr>
          <w:p w14:paraId="47D8C214"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 xml:space="preserve">  </w:t>
            </w:r>
            <w:proofErr w:type="spellStart"/>
            <w:r>
              <w:rPr>
                <w:rFonts w:ascii="Garamond" w:hAnsi="Garamond"/>
                <w:sz w:val="20"/>
                <w:szCs w:val="20"/>
                <w:lang w:val="en-US"/>
              </w:rPr>
              <w:t>dif</w:t>
            </w:r>
            <w:proofErr w:type="spellEnd"/>
            <w:r>
              <w:rPr>
                <w:rFonts w:ascii="Garamond" w:hAnsi="Garamond"/>
                <w:sz w:val="20"/>
                <w:szCs w:val="20"/>
                <w:lang w:val="en-US"/>
              </w:rPr>
              <w:t xml:space="preserve"> </w:t>
            </w:r>
          </w:p>
        </w:tc>
        <w:tc>
          <w:tcPr>
            <w:tcW w:w="518" w:type="pct"/>
            <w:tcBorders>
              <w:top w:val="single" w:sz="4" w:space="0" w:color="auto"/>
              <w:left w:val="nil"/>
              <w:bottom w:val="single" w:sz="10" w:space="0" w:color="auto"/>
              <w:right w:val="nil"/>
            </w:tcBorders>
          </w:tcPr>
          <w:p w14:paraId="619A4744"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 xml:space="preserve">  </w:t>
            </w:r>
            <w:proofErr w:type="spellStart"/>
            <w:r>
              <w:rPr>
                <w:rFonts w:ascii="Garamond" w:hAnsi="Garamond"/>
                <w:sz w:val="20"/>
                <w:szCs w:val="20"/>
                <w:lang w:val="en-US"/>
              </w:rPr>
              <w:t>St_Err</w:t>
            </w:r>
            <w:proofErr w:type="spellEnd"/>
            <w:r>
              <w:rPr>
                <w:rFonts w:ascii="Garamond" w:hAnsi="Garamond"/>
                <w:sz w:val="20"/>
                <w:szCs w:val="20"/>
                <w:lang w:val="en-US"/>
              </w:rPr>
              <w:t xml:space="preserve"> </w:t>
            </w:r>
          </w:p>
        </w:tc>
        <w:tc>
          <w:tcPr>
            <w:tcW w:w="518" w:type="pct"/>
            <w:tcBorders>
              <w:top w:val="single" w:sz="4" w:space="0" w:color="auto"/>
              <w:left w:val="nil"/>
              <w:bottom w:val="single" w:sz="10" w:space="0" w:color="auto"/>
              <w:right w:val="nil"/>
            </w:tcBorders>
          </w:tcPr>
          <w:p w14:paraId="76ACD8E9"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 xml:space="preserve">  </w:t>
            </w:r>
            <w:proofErr w:type="spellStart"/>
            <w:r>
              <w:rPr>
                <w:rFonts w:ascii="Garamond" w:hAnsi="Garamond"/>
                <w:sz w:val="20"/>
                <w:szCs w:val="20"/>
                <w:lang w:val="en-US"/>
              </w:rPr>
              <w:t>t_value</w:t>
            </w:r>
            <w:proofErr w:type="spellEnd"/>
            <w:r>
              <w:rPr>
                <w:rFonts w:ascii="Garamond" w:hAnsi="Garamond"/>
                <w:sz w:val="20"/>
                <w:szCs w:val="20"/>
                <w:lang w:val="en-US"/>
              </w:rPr>
              <w:t xml:space="preserve"> </w:t>
            </w:r>
          </w:p>
        </w:tc>
        <w:tc>
          <w:tcPr>
            <w:tcW w:w="516" w:type="pct"/>
            <w:tcBorders>
              <w:top w:val="single" w:sz="4" w:space="0" w:color="auto"/>
              <w:left w:val="nil"/>
              <w:bottom w:val="single" w:sz="10" w:space="0" w:color="auto"/>
              <w:right w:val="nil"/>
            </w:tcBorders>
          </w:tcPr>
          <w:p w14:paraId="600A6159"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 xml:space="preserve">  </w:t>
            </w:r>
            <w:proofErr w:type="spellStart"/>
            <w:r>
              <w:rPr>
                <w:rFonts w:ascii="Garamond" w:hAnsi="Garamond"/>
                <w:sz w:val="20"/>
                <w:szCs w:val="20"/>
                <w:lang w:val="en-US"/>
              </w:rPr>
              <w:t>p_value</w:t>
            </w:r>
            <w:proofErr w:type="spellEnd"/>
          </w:p>
        </w:tc>
      </w:tr>
      <w:tr w:rsidR="00596052" w14:paraId="1A35F695" w14:textId="77777777" w:rsidTr="004131F6">
        <w:tc>
          <w:tcPr>
            <w:tcW w:w="1016" w:type="pct"/>
            <w:gridSpan w:val="2"/>
            <w:tcBorders>
              <w:top w:val="nil"/>
              <w:left w:val="nil"/>
              <w:bottom w:val="nil"/>
              <w:right w:val="nil"/>
            </w:tcBorders>
          </w:tcPr>
          <w:p w14:paraId="485FF84F" w14:textId="77777777" w:rsidR="00596052" w:rsidRPr="00536D79" w:rsidRDefault="00596052" w:rsidP="004131F6">
            <w:pPr>
              <w:widowControl w:val="0"/>
              <w:autoSpaceDE w:val="0"/>
              <w:autoSpaceDN w:val="0"/>
              <w:adjustRightInd w:val="0"/>
              <w:spacing w:after="0" w:line="240" w:lineRule="auto"/>
              <w:rPr>
                <w:rFonts w:ascii="Garamond" w:hAnsi="Garamond"/>
                <w:sz w:val="20"/>
                <w:szCs w:val="20"/>
              </w:rPr>
            </w:pPr>
            <w:r w:rsidRPr="00536D79">
              <w:rPr>
                <w:rFonts w:ascii="Garamond" w:hAnsi="Garamond"/>
                <w:sz w:val="20"/>
                <w:szCs w:val="20"/>
              </w:rPr>
              <w:t>Sexe du responsable du troupeau</w:t>
            </w:r>
          </w:p>
        </w:tc>
        <w:tc>
          <w:tcPr>
            <w:tcW w:w="360" w:type="pct"/>
            <w:tcBorders>
              <w:top w:val="nil"/>
              <w:left w:val="nil"/>
              <w:bottom w:val="nil"/>
              <w:right w:val="nil"/>
            </w:tcBorders>
          </w:tcPr>
          <w:p w14:paraId="24C5D7AD"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30</w:t>
            </w:r>
          </w:p>
        </w:tc>
        <w:tc>
          <w:tcPr>
            <w:tcW w:w="518" w:type="pct"/>
            <w:tcBorders>
              <w:top w:val="nil"/>
              <w:left w:val="nil"/>
              <w:bottom w:val="nil"/>
              <w:right w:val="nil"/>
            </w:tcBorders>
          </w:tcPr>
          <w:p w14:paraId="54EFCDAE"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270</w:t>
            </w:r>
          </w:p>
        </w:tc>
        <w:tc>
          <w:tcPr>
            <w:tcW w:w="518" w:type="pct"/>
            <w:tcBorders>
              <w:top w:val="nil"/>
              <w:left w:val="nil"/>
              <w:bottom w:val="nil"/>
              <w:right w:val="nil"/>
            </w:tcBorders>
          </w:tcPr>
          <w:p w14:paraId="0EB27125"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1.267</w:t>
            </w:r>
          </w:p>
        </w:tc>
        <w:tc>
          <w:tcPr>
            <w:tcW w:w="518" w:type="pct"/>
            <w:tcBorders>
              <w:top w:val="nil"/>
              <w:left w:val="nil"/>
              <w:bottom w:val="nil"/>
              <w:right w:val="nil"/>
            </w:tcBorders>
          </w:tcPr>
          <w:p w14:paraId="6EAB3F40"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1.111</w:t>
            </w:r>
          </w:p>
        </w:tc>
        <w:tc>
          <w:tcPr>
            <w:tcW w:w="518" w:type="pct"/>
            <w:tcBorders>
              <w:top w:val="nil"/>
              <w:left w:val="nil"/>
              <w:bottom w:val="nil"/>
              <w:right w:val="nil"/>
            </w:tcBorders>
          </w:tcPr>
          <w:p w14:paraId="3AA67DE6"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.156</w:t>
            </w:r>
          </w:p>
        </w:tc>
        <w:tc>
          <w:tcPr>
            <w:tcW w:w="518" w:type="pct"/>
            <w:tcBorders>
              <w:top w:val="nil"/>
              <w:left w:val="nil"/>
              <w:bottom w:val="nil"/>
              <w:right w:val="nil"/>
            </w:tcBorders>
          </w:tcPr>
          <w:p w14:paraId="2038BFF1"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.064</w:t>
            </w:r>
          </w:p>
        </w:tc>
        <w:tc>
          <w:tcPr>
            <w:tcW w:w="518" w:type="pct"/>
            <w:tcBorders>
              <w:top w:val="nil"/>
              <w:left w:val="nil"/>
              <w:bottom w:val="nil"/>
              <w:right w:val="nil"/>
            </w:tcBorders>
          </w:tcPr>
          <w:p w14:paraId="3C283CCB"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2.45</w:t>
            </w:r>
          </w:p>
        </w:tc>
        <w:tc>
          <w:tcPr>
            <w:tcW w:w="516" w:type="pct"/>
            <w:tcBorders>
              <w:top w:val="nil"/>
              <w:left w:val="nil"/>
              <w:bottom w:val="nil"/>
              <w:right w:val="nil"/>
            </w:tcBorders>
          </w:tcPr>
          <w:p w14:paraId="6EB11315"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.015**</w:t>
            </w:r>
          </w:p>
        </w:tc>
      </w:tr>
      <w:tr w:rsidR="00596052" w14:paraId="199A1354" w14:textId="77777777" w:rsidTr="004131F6">
        <w:tc>
          <w:tcPr>
            <w:tcW w:w="858" w:type="pct"/>
            <w:tcBorders>
              <w:top w:val="nil"/>
              <w:left w:val="nil"/>
              <w:bottom w:val="nil"/>
              <w:right w:val="nil"/>
            </w:tcBorders>
          </w:tcPr>
          <w:p w14:paraId="23415F9D" w14:textId="77777777" w:rsidR="00596052" w:rsidRDefault="00596052" w:rsidP="004131F6">
            <w:pPr>
              <w:widowControl w:val="0"/>
              <w:autoSpaceDE w:val="0"/>
              <w:autoSpaceDN w:val="0"/>
              <w:adjustRightInd w:val="0"/>
              <w:spacing w:after="0" w:line="240" w:lineRule="auto"/>
              <w:rPr>
                <w:rFonts w:ascii="Garamond" w:hAnsi="Garamond"/>
                <w:sz w:val="20"/>
                <w:szCs w:val="20"/>
                <w:lang w:val="en-US"/>
              </w:rPr>
            </w:pPr>
          </w:p>
        </w:tc>
        <w:tc>
          <w:tcPr>
            <w:tcW w:w="518" w:type="pct"/>
            <w:gridSpan w:val="2"/>
            <w:tcBorders>
              <w:top w:val="nil"/>
              <w:left w:val="nil"/>
              <w:bottom w:val="nil"/>
              <w:right w:val="nil"/>
            </w:tcBorders>
          </w:tcPr>
          <w:p w14:paraId="1DFDC754"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2BD4AB52"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18BD3F69"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2F3651B9"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51E9F0FC"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16CED807"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18424E46"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6" w:type="pct"/>
            <w:tcBorders>
              <w:top w:val="nil"/>
              <w:left w:val="nil"/>
              <w:bottom w:val="nil"/>
              <w:right w:val="nil"/>
            </w:tcBorders>
          </w:tcPr>
          <w:p w14:paraId="42C1A314"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r>
      <w:tr w:rsidR="00596052" w14:paraId="0CCB39FF" w14:textId="77777777" w:rsidTr="004131F6">
        <w:tc>
          <w:tcPr>
            <w:tcW w:w="858" w:type="pct"/>
            <w:tcBorders>
              <w:top w:val="nil"/>
              <w:left w:val="nil"/>
              <w:bottom w:val="nil"/>
              <w:right w:val="nil"/>
            </w:tcBorders>
          </w:tcPr>
          <w:p w14:paraId="46E447EB" w14:textId="77777777" w:rsidR="00596052" w:rsidRPr="00536D79" w:rsidRDefault="00596052" w:rsidP="004131F6">
            <w:pPr>
              <w:widowControl w:val="0"/>
              <w:autoSpaceDE w:val="0"/>
              <w:autoSpaceDN w:val="0"/>
              <w:adjustRightInd w:val="0"/>
              <w:spacing w:after="0" w:line="240" w:lineRule="auto"/>
              <w:rPr>
                <w:rFonts w:ascii="Garamond" w:hAnsi="Garamond"/>
                <w:sz w:val="20"/>
                <w:szCs w:val="20"/>
              </w:rPr>
            </w:pPr>
            <w:r w:rsidRPr="00536D79">
              <w:rPr>
                <w:rFonts w:ascii="Garamond" w:hAnsi="Garamond"/>
                <w:sz w:val="20"/>
                <w:szCs w:val="20"/>
              </w:rPr>
              <w:t>Niveau d’é</w:t>
            </w:r>
            <w:r>
              <w:rPr>
                <w:rFonts w:ascii="Garamond" w:hAnsi="Garamond"/>
                <w:sz w:val="20"/>
                <w:szCs w:val="20"/>
              </w:rPr>
              <w:t>t</w:t>
            </w:r>
            <w:r w:rsidRPr="00536D79">
              <w:rPr>
                <w:rFonts w:ascii="Garamond" w:hAnsi="Garamond"/>
                <w:sz w:val="20"/>
                <w:szCs w:val="20"/>
              </w:rPr>
              <w:t>ude primaire</w:t>
            </w:r>
          </w:p>
        </w:tc>
        <w:tc>
          <w:tcPr>
            <w:tcW w:w="518" w:type="pct"/>
            <w:gridSpan w:val="2"/>
            <w:tcBorders>
              <w:top w:val="nil"/>
              <w:left w:val="nil"/>
              <w:bottom w:val="nil"/>
              <w:right w:val="nil"/>
            </w:tcBorders>
          </w:tcPr>
          <w:p w14:paraId="3EA7EA5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30</w:t>
            </w:r>
          </w:p>
        </w:tc>
        <w:tc>
          <w:tcPr>
            <w:tcW w:w="518" w:type="pct"/>
            <w:tcBorders>
              <w:top w:val="nil"/>
              <w:left w:val="nil"/>
              <w:bottom w:val="nil"/>
              <w:right w:val="nil"/>
            </w:tcBorders>
          </w:tcPr>
          <w:p w14:paraId="4AD71CD9"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270</w:t>
            </w:r>
          </w:p>
        </w:tc>
        <w:tc>
          <w:tcPr>
            <w:tcW w:w="518" w:type="pct"/>
            <w:tcBorders>
              <w:top w:val="nil"/>
              <w:left w:val="nil"/>
              <w:bottom w:val="nil"/>
              <w:right w:val="nil"/>
            </w:tcBorders>
          </w:tcPr>
          <w:p w14:paraId="397A7E9C"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.1</w:t>
            </w:r>
          </w:p>
        </w:tc>
        <w:tc>
          <w:tcPr>
            <w:tcW w:w="518" w:type="pct"/>
            <w:tcBorders>
              <w:top w:val="nil"/>
              <w:left w:val="nil"/>
              <w:bottom w:val="nil"/>
              <w:right w:val="nil"/>
            </w:tcBorders>
          </w:tcPr>
          <w:p w14:paraId="2B57EEFB"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.056</w:t>
            </w:r>
          </w:p>
        </w:tc>
        <w:tc>
          <w:tcPr>
            <w:tcW w:w="518" w:type="pct"/>
            <w:tcBorders>
              <w:top w:val="nil"/>
              <w:left w:val="nil"/>
              <w:bottom w:val="nil"/>
              <w:right w:val="nil"/>
            </w:tcBorders>
          </w:tcPr>
          <w:p w14:paraId="6777D186"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.044</w:t>
            </w:r>
          </w:p>
        </w:tc>
        <w:tc>
          <w:tcPr>
            <w:tcW w:w="518" w:type="pct"/>
            <w:tcBorders>
              <w:top w:val="nil"/>
              <w:left w:val="nil"/>
              <w:bottom w:val="nil"/>
              <w:right w:val="nil"/>
            </w:tcBorders>
          </w:tcPr>
          <w:p w14:paraId="7AADE050"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.046</w:t>
            </w:r>
          </w:p>
        </w:tc>
        <w:tc>
          <w:tcPr>
            <w:tcW w:w="518" w:type="pct"/>
            <w:tcBorders>
              <w:top w:val="nil"/>
              <w:left w:val="nil"/>
              <w:bottom w:val="nil"/>
              <w:right w:val="nil"/>
            </w:tcBorders>
          </w:tcPr>
          <w:p w14:paraId="7B8346B5"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.95</w:t>
            </w:r>
          </w:p>
        </w:tc>
        <w:tc>
          <w:tcPr>
            <w:tcW w:w="516" w:type="pct"/>
            <w:tcBorders>
              <w:top w:val="nil"/>
              <w:left w:val="nil"/>
              <w:bottom w:val="nil"/>
              <w:right w:val="nil"/>
            </w:tcBorders>
          </w:tcPr>
          <w:p w14:paraId="763C9273"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.333</w:t>
            </w:r>
          </w:p>
        </w:tc>
      </w:tr>
      <w:tr w:rsidR="00596052" w14:paraId="4D48ECB2" w14:textId="77777777" w:rsidTr="004131F6">
        <w:tc>
          <w:tcPr>
            <w:tcW w:w="858" w:type="pct"/>
            <w:tcBorders>
              <w:top w:val="nil"/>
              <w:left w:val="nil"/>
              <w:bottom w:val="nil"/>
              <w:right w:val="nil"/>
            </w:tcBorders>
          </w:tcPr>
          <w:p w14:paraId="6B7C949F" w14:textId="77777777" w:rsidR="00596052" w:rsidRDefault="00596052" w:rsidP="004131F6">
            <w:pPr>
              <w:widowControl w:val="0"/>
              <w:autoSpaceDE w:val="0"/>
              <w:autoSpaceDN w:val="0"/>
              <w:adjustRightInd w:val="0"/>
              <w:spacing w:after="0" w:line="240" w:lineRule="auto"/>
              <w:rPr>
                <w:rFonts w:ascii="Garamond" w:hAnsi="Garamond"/>
                <w:sz w:val="20"/>
                <w:szCs w:val="20"/>
                <w:lang w:val="en-US"/>
              </w:rPr>
            </w:pPr>
          </w:p>
        </w:tc>
        <w:tc>
          <w:tcPr>
            <w:tcW w:w="518" w:type="pct"/>
            <w:gridSpan w:val="2"/>
            <w:tcBorders>
              <w:top w:val="nil"/>
              <w:left w:val="nil"/>
              <w:bottom w:val="nil"/>
              <w:right w:val="nil"/>
            </w:tcBorders>
          </w:tcPr>
          <w:p w14:paraId="255E7F51"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3546FB1A"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7F1BE284"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6BCDEC7E"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55F6986E"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70429B22"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46466C20"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6" w:type="pct"/>
            <w:tcBorders>
              <w:top w:val="nil"/>
              <w:left w:val="nil"/>
              <w:bottom w:val="nil"/>
              <w:right w:val="nil"/>
            </w:tcBorders>
          </w:tcPr>
          <w:p w14:paraId="16AEDC5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r>
      <w:tr w:rsidR="00596052" w14:paraId="712BA464" w14:textId="77777777" w:rsidTr="004131F6">
        <w:tc>
          <w:tcPr>
            <w:tcW w:w="858" w:type="pct"/>
            <w:tcBorders>
              <w:top w:val="nil"/>
              <w:left w:val="nil"/>
              <w:bottom w:val="nil"/>
              <w:right w:val="nil"/>
            </w:tcBorders>
          </w:tcPr>
          <w:p w14:paraId="01AD4DBF" w14:textId="77777777" w:rsidR="00596052" w:rsidRDefault="00596052" w:rsidP="004131F6">
            <w:pPr>
              <w:widowControl w:val="0"/>
              <w:autoSpaceDE w:val="0"/>
              <w:autoSpaceDN w:val="0"/>
              <w:adjustRightInd w:val="0"/>
              <w:spacing w:after="0" w:line="240" w:lineRule="auto"/>
              <w:rPr>
                <w:rFonts w:ascii="Garamond" w:hAnsi="Garamond"/>
                <w:sz w:val="20"/>
                <w:szCs w:val="20"/>
                <w:lang w:val="en-US"/>
              </w:rPr>
            </w:pPr>
            <w:proofErr w:type="spellStart"/>
            <w:r>
              <w:rPr>
                <w:rFonts w:ascii="Garamond" w:hAnsi="Garamond"/>
                <w:sz w:val="20"/>
                <w:szCs w:val="20"/>
                <w:lang w:val="en-US"/>
              </w:rPr>
              <w:t>Niveau</w:t>
            </w:r>
            <w:proofErr w:type="spellEnd"/>
            <w:r>
              <w:rPr>
                <w:rFonts w:ascii="Garamond" w:hAnsi="Garamond"/>
                <w:sz w:val="20"/>
                <w:szCs w:val="20"/>
                <w:lang w:val="en-US"/>
              </w:rPr>
              <w:t xml:space="preserve"> </w:t>
            </w:r>
            <w:proofErr w:type="spellStart"/>
            <w:r>
              <w:rPr>
                <w:rFonts w:ascii="Garamond" w:hAnsi="Garamond"/>
                <w:sz w:val="20"/>
                <w:szCs w:val="20"/>
                <w:lang w:val="en-US"/>
              </w:rPr>
              <w:t>d’étude</w:t>
            </w:r>
            <w:proofErr w:type="spellEnd"/>
            <w:r>
              <w:rPr>
                <w:rFonts w:ascii="Garamond" w:hAnsi="Garamond"/>
                <w:sz w:val="20"/>
                <w:szCs w:val="20"/>
                <w:lang w:val="en-US"/>
              </w:rPr>
              <w:t xml:space="preserve"> </w:t>
            </w:r>
            <w:proofErr w:type="spellStart"/>
            <w:r>
              <w:rPr>
                <w:rFonts w:ascii="Garamond" w:hAnsi="Garamond"/>
                <w:sz w:val="20"/>
                <w:szCs w:val="20"/>
                <w:lang w:val="en-US"/>
              </w:rPr>
              <w:t>moyen</w:t>
            </w:r>
            <w:proofErr w:type="spellEnd"/>
          </w:p>
        </w:tc>
        <w:tc>
          <w:tcPr>
            <w:tcW w:w="518" w:type="pct"/>
            <w:gridSpan w:val="2"/>
            <w:tcBorders>
              <w:top w:val="nil"/>
              <w:left w:val="nil"/>
              <w:bottom w:val="nil"/>
              <w:right w:val="nil"/>
            </w:tcBorders>
          </w:tcPr>
          <w:p w14:paraId="708C4D22"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30</w:t>
            </w:r>
          </w:p>
        </w:tc>
        <w:tc>
          <w:tcPr>
            <w:tcW w:w="518" w:type="pct"/>
            <w:tcBorders>
              <w:top w:val="nil"/>
              <w:left w:val="nil"/>
              <w:bottom w:val="nil"/>
              <w:right w:val="nil"/>
            </w:tcBorders>
          </w:tcPr>
          <w:p w14:paraId="51780CC3"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270</w:t>
            </w:r>
          </w:p>
        </w:tc>
        <w:tc>
          <w:tcPr>
            <w:tcW w:w="518" w:type="pct"/>
            <w:tcBorders>
              <w:top w:val="nil"/>
              <w:left w:val="nil"/>
              <w:bottom w:val="nil"/>
              <w:right w:val="nil"/>
            </w:tcBorders>
          </w:tcPr>
          <w:p w14:paraId="058E658B"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w:t>
            </w:r>
          </w:p>
        </w:tc>
        <w:tc>
          <w:tcPr>
            <w:tcW w:w="518" w:type="pct"/>
            <w:tcBorders>
              <w:top w:val="nil"/>
              <w:left w:val="nil"/>
              <w:bottom w:val="nil"/>
              <w:right w:val="nil"/>
            </w:tcBorders>
          </w:tcPr>
          <w:p w14:paraId="42DA2AA9"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.026</w:t>
            </w:r>
          </w:p>
        </w:tc>
        <w:tc>
          <w:tcPr>
            <w:tcW w:w="518" w:type="pct"/>
            <w:tcBorders>
              <w:top w:val="nil"/>
              <w:left w:val="nil"/>
              <w:bottom w:val="nil"/>
              <w:right w:val="nil"/>
            </w:tcBorders>
          </w:tcPr>
          <w:p w14:paraId="46A372D4"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-.026</w:t>
            </w:r>
          </w:p>
        </w:tc>
        <w:tc>
          <w:tcPr>
            <w:tcW w:w="518" w:type="pct"/>
            <w:tcBorders>
              <w:top w:val="nil"/>
              <w:left w:val="nil"/>
              <w:bottom w:val="nil"/>
              <w:right w:val="nil"/>
            </w:tcBorders>
          </w:tcPr>
          <w:p w14:paraId="07791C44"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.029</w:t>
            </w:r>
          </w:p>
        </w:tc>
        <w:tc>
          <w:tcPr>
            <w:tcW w:w="518" w:type="pct"/>
            <w:tcBorders>
              <w:top w:val="nil"/>
              <w:left w:val="nil"/>
              <w:bottom w:val="nil"/>
              <w:right w:val="nil"/>
            </w:tcBorders>
          </w:tcPr>
          <w:p w14:paraId="4C3E09BC"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-.9</w:t>
            </w:r>
          </w:p>
        </w:tc>
        <w:tc>
          <w:tcPr>
            <w:tcW w:w="516" w:type="pct"/>
            <w:tcBorders>
              <w:top w:val="nil"/>
              <w:left w:val="nil"/>
              <w:bottom w:val="nil"/>
              <w:right w:val="nil"/>
            </w:tcBorders>
          </w:tcPr>
          <w:p w14:paraId="03085182"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.374</w:t>
            </w:r>
          </w:p>
        </w:tc>
      </w:tr>
      <w:tr w:rsidR="00596052" w14:paraId="6EC8D10C" w14:textId="77777777" w:rsidTr="004131F6">
        <w:trPr>
          <w:trHeight w:val="60"/>
        </w:trPr>
        <w:tc>
          <w:tcPr>
            <w:tcW w:w="858" w:type="pct"/>
            <w:tcBorders>
              <w:top w:val="nil"/>
              <w:left w:val="nil"/>
              <w:bottom w:val="nil"/>
              <w:right w:val="nil"/>
            </w:tcBorders>
          </w:tcPr>
          <w:p w14:paraId="324E8B10" w14:textId="77777777" w:rsidR="00596052" w:rsidRDefault="00596052" w:rsidP="004131F6">
            <w:pPr>
              <w:widowControl w:val="0"/>
              <w:autoSpaceDE w:val="0"/>
              <w:autoSpaceDN w:val="0"/>
              <w:adjustRightInd w:val="0"/>
              <w:spacing w:after="0" w:line="240" w:lineRule="auto"/>
              <w:rPr>
                <w:rFonts w:ascii="Garamond" w:hAnsi="Garamond"/>
                <w:sz w:val="20"/>
                <w:szCs w:val="20"/>
                <w:lang w:val="en-US"/>
              </w:rPr>
            </w:pPr>
          </w:p>
        </w:tc>
        <w:tc>
          <w:tcPr>
            <w:tcW w:w="518" w:type="pct"/>
            <w:gridSpan w:val="2"/>
            <w:tcBorders>
              <w:top w:val="nil"/>
              <w:left w:val="nil"/>
              <w:bottom w:val="nil"/>
              <w:right w:val="nil"/>
            </w:tcBorders>
          </w:tcPr>
          <w:p w14:paraId="0A39C39A"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651195CD"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6EACD5C7"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77921A3E"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3B05AC8B"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63B91940"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4F0A9466"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6" w:type="pct"/>
            <w:tcBorders>
              <w:top w:val="nil"/>
              <w:left w:val="nil"/>
              <w:bottom w:val="nil"/>
              <w:right w:val="nil"/>
            </w:tcBorders>
          </w:tcPr>
          <w:p w14:paraId="63EBF953"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r>
      <w:tr w:rsidR="00596052" w14:paraId="52C8824C" w14:textId="77777777" w:rsidTr="004131F6">
        <w:trPr>
          <w:trHeight w:val="60"/>
        </w:trPr>
        <w:tc>
          <w:tcPr>
            <w:tcW w:w="858" w:type="pct"/>
            <w:tcBorders>
              <w:top w:val="nil"/>
              <w:left w:val="nil"/>
              <w:bottom w:val="nil"/>
              <w:right w:val="nil"/>
            </w:tcBorders>
          </w:tcPr>
          <w:p w14:paraId="2908A8C8" w14:textId="77777777" w:rsidR="00596052" w:rsidRDefault="00596052" w:rsidP="004131F6">
            <w:pPr>
              <w:widowControl w:val="0"/>
              <w:autoSpaceDE w:val="0"/>
              <w:autoSpaceDN w:val="0"/>
              <w:adjustRightInd w:val="0"/>
              <w:spacing w:after="0" w:line="240" w:lineRule="auto"/>
              <w:rPr>
                <w:rFonts w:ascii="Garamond" w:hAnsi="Garamond"/>
                <w:sz w:val="20"/>
                <w:szCs w:val="20"/>
                <w:lang w:val="en-US"/>
              </w:rPr>
            </w:pPr>
            <w:proofErr w:type="spellStart"/>
            <w:r>
              <w:rPr>
                <w:rFonts w:ascii="Garamond" w:hAnsi="Garamond"/>
                <w:sz w:val="20"/>
                <w:szCs w:val="20"/>
                <w:lang w:val="en-US"/>
              </w:rPr>
              <w:t>Niveau</w:t>
            </w:r>
            <w:proofErr w:type="spellEnd"/>
            <w:r>
              <w:rPr>
                <w:rFonts w:ascii="Garamond" w:hAnsi="Garamond"/>
                <w:sz w:val="20"/>
                <w:szCs w:val="20"/>
                <w:lang w:val="en-US"/>
              </w:rPr>
              <w:t xml:space="preserve"> </w:t>
            </w:r>
            <w:proofErr w:type="spellStart"/>
            <w:r>
              <w:rPr>
                <w:rFonts w:ascii="Garamond" w:hAnsi="Garamond"/>
                <w:sz w:val="20"/>
                <w:szCs w:val="20"/>
                <w:lang w:val="en-US"/>
              </w:rPr>
              <w:t>d’étude</w:t>
            </w:r>
            <w:proofErr w:type="spellEnd"/>
            <w:r>
              <w:rPr>
                <w:rFonts w:ascii="Garamond" w:hAnsi="Garamond"/>
                <w:sz w:val="20"/>
                <w:szCs w:val="20"/>
                <w:lang w:val="en-US"/>
              </w:rPr>
              <w:t xml:space="preserve"> </w:t>
            </w:r>
            <w:proofErr w:type="spellStart"/>
            <w:r>
              <w:rPr>
                <w:rFonts w:ascii="Garamond" w:hAnsi="Garamond"/>
                <w:sz w:val="20"/>
                <w:szCs w:val="20"/>
                <w:lang w:val="en-US"/>
              </w:rPr>
              <w:t>secondaire</w:t>
            </w:r>
            <w:proofErr w:type="spellEnd"/>
          </w:p>
        </w:tc>
        <w:tc>
          <w:tcPr>
            <w:tcW w:w="518" w:type="pct"/>
            <w:gridSpan w:val="2"/>
            <w:tcBorders>
              <w:top w:val="nil"/>
              <w:left w:val="nil"/>
              <w:bottom w:val="nil"/>
              <w:right w:val="nil"/>
            </w:tcBorders>
          </w:tcPr>
          <w:p w14:paraId="4C3FB807"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30</w:t>
            </w:r>
          </w:p>
        </w:tc>
        <w:tc>
          <w:tcPr>
            <w:tcW w:w="518" w:type="pct"/>
            <w:tcBorders>
              <w:top w:val="nil"/>
              <w:left w:val="nil"/>
              <w:bottom w:val="nil"/>
              <w:right w:val="nil"/>
            </w:tcBorders>
          </w:tcPr>
          <w:p w14:paraId="4383C74C"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270</w:t>
            </w:r>
          </w:p>
        </w:tc>
        <w:tc>
          <w:tcPr>
            <w:tcW w:w="518" w:type="pct"/>
            <w:tcBorders>
              <w:top w:val="nil"/>
              <w:left w:val="nil"/>
              <w:bottom w:val="nil"/>
              <w:right w:val="nil"/>
            </w:tcBorders>
          </w:tcPr>
          <w:p w14:paraId="318197E3"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w:t>
            </w:r>
          </w:p>
        </w:tc>
        <w:tc>
          <w:tcPr>
            <w:tcW w:w="518" w:type="pct"/>
            <w:tcBorders>
              <w:top w:val="nil"/>
              <w:left w:val="nil"/>
              <w:bottom w:val="nil"/>
              <w:right w:val="nil"/>
            </w:tcBorders>
          </w:tcPr>
          <w:p w14:paraId="53AC9AC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.007</w:t>
            </w:r>
          </w:p>
        </w:tc>
        <w:tc>
          <w:tcPr>
            <w:tcW w:w="518" w:type="pct"/>
            <w:tcBorders>
              <w:top w:val="nil"/>
              <w:left w:val="nil"/>
              <w:bottom w:val="nil"/>
              <w:right w:val="nil"/>
            </w:tcBorders>
          </w:tcPr>
          <w:p w14:paraId="1FBBCBA5"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-.007</w:t>
            </w:r>
          </w:p>
        </w:tc>
        <w:tc>
          <w:tcPr>
            <w:tcW w:w="518" w:type="pct"/>
            <w:tcBorders>
              <w:top w:val="nil"/>
              <w:left w:val="nil"/>
              <w:bottom w:val="nil"/>
              <w:right w:val="nil"/>
            </w:tcBorders>
          </w:tcPr>
          <w:p w14:paraId="0280479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.016</w:t>
            </w:r>
          </w:p>
        </w:tc>
        <w:tc>
          <w:tcPr>
            <w:tcW w:w="518" w:type="pct"/>
            <w:tcBorders>
              <w:top w:val="nil"/>
              <w:left w:val="nil"/>
              <w:bottom w:val="nil"/>
              <w:right w:val="nil"/>
            </w:tcBorders>
          </w:tcPr>
          <w:p w14:paraId="0E48479A"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-.45</w:t>
            </w:r>
          </w:p>
        </w:tc>
        <w:tc>
          <w:tcPr>
            <w:tcW w:w="516" w:type="pct"/>
            <w:tcBorders>
              <w:top w:val="nil"/>
              <w:left w:val="nil"/>
              <w:bottom w:val="nil"/>
              <w:right w:val="nil"/>
            </w:tcBorders>
          </w:tcPr>
          <w:p w14:paraId="05EF9234"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.638</w:t>
            </w:r>
          </w:p>
        </w:tc>
      </w:tr>
      <w:tr w:rsidR="00596052" w14:paraId="5B2BB3C8" w14:textId="77777777" w:rsidTr="004131F6">
        <w:trPr>
          <w:trHeight w:val="60"/>
        </w:trPr>
        <w:tc>
          <w:tcPr>
            <w:tcW w:w="858" w:type="pct"/>
            <w:tcBorders>
              <w:top w:val="nil"/>
              <w:left w:val="nil"/>
              <w:bottom w:val="nil"/>
              <w:right w:val="nil"/>
            </w:tcBorders>
          </w:tcPr>
          <w:p w14:paraId="713B7A4B" w14:textId="77777777" w:rsidR="00596052" w:rsidRDefault="00596052" w:rsidP="004131F6">
            <w:pPr>
              <w:widowControl w:val="0"/>
              <w:autoSpaceDE w:val="0"/>
              <w:autoSpaceDN w:val="0"/>
              <w:adjustRightInd w:val="0"/>
              <w:spacing w:after="0" w:line="240" w:lineRule="auto"/>
              <w:rPr>
                <w:rFonts w:ascii="Garamond" w:hAnsi="Garamond"/>
                <w:sz w:val="20"/>
                <w:szCs w:val="20"/>
                <w:lang w:val="en-US"/>
              </w:rPr>
            </w:pPr>
          </w:p>
        </w:tc>
        <w:tc>
          <w:tcPr>
            <w:tcW w:w="518" w:type="pct"/>
            <w:gridSpan w:val="2"/>
            <w:tcBorders>
              <w:top w:val="nil"/>
              <w:left w:val="nil"/>
              <w:bottom w:val="nil"/>
              <w:right w:val="nil"/>
            </w:tcBorders>
          </w:tcPr>
          <w:p w14:paraId="11CF838A"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60F5F503"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56C5508D"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6AB0109B"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7F79ECE9"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0382A859"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468121FE"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6" w:type="pct"/>
            <w:tcBorders>
              <w:top w:val="nil"/>
              <w:left w:val="nil"/>
              <w:bottom w:val="nil"/>
              <w:right w:val="nil"/>
            </w:tcBorders>
          </w:tcPr>
          <w:p w14:paraId="6301E7E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r>
      <w:tr w:rsidR="00596052" w14:paraId="6EB2A3D0" w14:textId="77777777" w:rsidTr="004131F6">
        <w:trPr>
          <w:trHeight w:val="60"/>
        </w:trPr>
        <w:tc>
          <w:tcPr>
            <w:tcW w:w="858" w:type="pct"/>
            <w:tcBorders>
              <w:top w:val="nil"/>
              <w:left w:val="nil"/>
              <w:bottom w:val="nil"/>
              <w:right w:val="nil"/>
            </w:tcBorders>
          </w:tcPr>
          <w:p w14:paraId="369CF871" w14:textId="77777777" w:rsidR="00596052" w:rsidRDefault="00596052" w:rsidP="004131F6">
            <w:pPr>
              <w:widowControl w:val="0"/>
              <w:autoSpaceDE w:val="0"/>
              <w:autoSpaceDN w:val="0"/>
              <w:adjustRightInd w:val="0"/>
              <w:spacing w:after="0" w:line="240" w:lineRule="auto"/>
              <w:rPr>
                <w:rFonts w:ascii="Garamond" w:hAnsi="Garamond"/>
                <w:sz w:val="20"/>
                <w:szCs w:val="20"/>
                <w:lang w:val="en-US"/>
              </w:rPr>
            </w:pPr>
            <w:proofErr w:type="spellStart"/>
            <w:r>
              <w:rPr>
                <w:rFonts w:ascii="Garamond" w:hAnsi="Garamond"/>
                <w:sz w:val="20"/>
                <w:szCs w:val="20"/>
                <w:lang w:val="en-US"/>
              </w:rPr>
              <w:t>Niveau</w:t>
            </w:r>
            <w:proofErr w:type="spellEnd"/>
            <w:r>
              <w:rPr>
                <w:rFonts w:ascii="Garamond" w:hAnsi="Garamond"/>
                <w:sz w:val="20"/>
                <w:szCs w:val="20"/>
                <w:lang w:val="en-US"/>
              </w:rPr>
              <w:t xml:space="preserve"> </w:t>
            </w:r>
            <w:proofErr w:type="spellStart"/>
            <w:r>
              <w:rPr>
                <w:rFonts w:ascii="Garamond" w:hAnsi="Garamond"/>
                <w:sz w:val="20"/>
                <w:szCs w:val="20"/>
                <w:lang w:val="en-US"/>
              </w:rPr>
              <w:t>d’étude</w:t>
            </w:r>
            <w:proofErr w:type="spellEnd"/>
            <w:r>
              <w:rPr>
                <w:rFonts w:ascii="Garamond" w:hAnsi="Garamond"/>
                <w:sz w:val="20"/>
                <w:szCs w:val="20"/>
                <w:lang w:val="en-US"/>
              </w:rPr>
              <w:t xml:space="preserve"> </w:t>
            </w:r>
            <w:proofErr w:type="spellStart"/>
            <w:r>
              <w:rPr>
                <w:rFonts w:ascii="Garamond" w:hAnsi="Garamond"/>
                <w:sz w:val="20"/>
                <w:szCs w:val="20"/>
                <w:lang w:val="en-US"/>
              </w:rPr>
              <w:t>supérieur</w:t>
            </w:r>
            <w:proofErr w:type="spellEnd"/>
          </w:p>
        </w:tc>
        <w:tc>
          <w:tcPr>
            <w:tcW w:w="518" w:type="pct"/>
            <w:gridSpan w:val="2"/>
            <w:tcBorders>
              <w:top w:val="nil"/>
              <w:left w:val="nil"/>
              <w:bottom w:val="nil"/>
              <w:right w:val="nil"/>
            </w:tcBorders>
          </w:tcPr>
          <w:p w14:paraId="3EF3D966"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30</w:t>
            </w:r>
          </w:p>
        </w:tc>
        <w:tc>
          <w:tcPr>
            <w:tcW w:w="518" w:type="pct"/>
            <w:tcBorders>
              <w:top w:val="nil"/>
              <w:left w:val="nil"/>
              <w:bottom w:val="nil"/>
              <w:right w:val="nil"/>
            </w:tcBorders>
          </w:tcPr>
          <w:p w14:paraId="2BE7E96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270</w:t>
            </w:r>
          </w:p>
        </w:tc>
        <w:tc>
          <w:tcPr>
            <w:tcW w:w="518" w:type="pct"/>
            <w:tcBorders>
              <w:top w:val="nil"/>
              <w:left w:val="nil"/>
              <w:bottom w:val="nil"/>
              <w:right w:val="nil"/>
            </w:tcBorders>
          </w:tcPr>
          <w:p w14:paraId="7AF316D2"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.067</w:t>
            </w:r>
          </w:p>
        </w:tc>
        <w:tc>
          <w:tcPr>
            <w:tcW w:w="518" w:type="pct"/>
            <w:tcBorders>
              <w:top w:val="nil"/>
              <w:left w:val="nil"/>
              <w:bottom w:val="nil"/>
              <w:right w:val="nil"/>
            </w:tcBorders>
          </w:tcPr>
          <w:p w14:paraId="5ABF6BC6"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.022</w:t>
            </w:r>
          </w:p>
        </w:tc>
        <w:tc>
          <w:tcPr>
            <w:tcW w:w="518" w:type="pct"/>
            <w:tcBorders>
              <w:top w:val="nil"/>
              <w:left w:val="nil"/>
              <w:bottom w:val="nil"/>
              <w:right w:val="nil"/>
            </w:tcBorders>
          </w:tcPr>
          <w:p w14:paraId="7C9683E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.044</w:t>
            </w:r>
          </w:p>
        </w:tc>
        <w:tc>
          <w:tcPr>
            <w:tcW w:w="518" w:type="pct"/>
            <w:tcBorders>
              <w:top w:val="nil"/>
              <w:left w:val="nil"/>
              <w:bottom w:val="nil"/>
              <w:right w:val="nil"/>
            </w:tcBorders>
          </w:tcPr>
          <w:p w14:paraId="35507571"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.031</w:t>
            </w:r>
          </w:p>
        </w:tc>
        <w:tc>
          <w:tcPr>
            <w:tcW w:w="518" w:type="pct"/>
            <w:tcBorders>
              <w:top w:val="nil"/>
              <w:left w:val="nil"/>
              <w:bottom w:val="nil"/>
              <w:right w:val="nil"/>
            </w:tcBorders>
          </w:tcPr>
          <w:p w14:paraId="6AB62F37"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1.45</w:t>
            </w:r>
          </w:p>
        </w:tc>
        <w:tc>
          <w:tcPr>
            <w:tcW w:w="516" w:type="pct"/>
            <w:tcBorders>
              <w:top w:val="nil"/>
              <w:left w:val="nil"/>
              <w:bottom w:val="nil"/>
              <w:right w:val="nil"/>
            </w:tcBorders>
          </w:tcPr>
          <w:p w14:paraId="6A3E2F8A"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.153</w:t>
            </w:r>
          </w:p>
        </w:tc>
      </w:tr>
      <w:tr w:rsidR="00596052" w14:paraId="26B0600E" w14:textId="77777777" w:rsidTr="004131F6">
        <w:trPr>
          <w:trHeight w:val="60"/>
        </w:trPr>
        <w:tc>
          <w:tcPr>
            <w:tcW w:w="858" w:type="pct"/>
            <w:tcBorders>
              <w:top w:val="nil"/>
              <w:left w:val="nil"/>
              <w:bottom w:val="nil"/>
              <w:right w:val="nil"/>
            </w:tcBorders>
          </w:tcPr>
          <w:p w14:paraId="564344DE" w14:textId="77777777" w:rsidR="00596052" w:rsidRDefault="00596052" w:rsidP="004131F6">
            <w:pPr>
              <w:widowControl w:val="0"/>
              <w:autoSpaceDE w:val="0"/>
              <w:autoSpaceDN w:val="0"/>
              <w:adjustRightInd w:val="0"/>
              <w:spacing w:after="0" w:line="240" w:lineRule="auto"/>
              <w:rPr>
                <w:rFonts w:ascii="Garamond" w:hAnsi="Garamond"/>
                <w:sz w:val="20"/>
                <w:szCs w:val="20"/>
                <w:lang w:val="en-US"/>
              </w:rPr>
            </w:pPr>
          </w:p>
        </w:tc>
        <w:tc>
          <w:tcPr>
            <w:tcW w:w="518" w:type="pct"/>
            <w:gridSpan w:val="2"/>
            <w:tcBorders>
              <w:top w:val="nil"/>
              <w:left w:val="nil"/>
              <w:bottom w:val="nil"/>
              <w:right w:val="nil"/>
            </w:tcBorders>
          </w:tcPr>
          <w:p w14:paraId="6DB5DE79"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7524C263"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1E4248AD"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6FEAE04C"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20ABC071"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78027A33"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1216FDDA"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6" w:type="pct"/>
            <w:tcBorders>
              <w:top w:val="nil"/>
              <w:left w:val="nil"/>
              <w:bottom w:val="nil"/>
              <w:right w:val="nil"/>
            </w:tcBorders>
          </w:tcPr>
          <w:p w14:paraId="17154979"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r>
      <w:tr w:rsidR="00596052" w14:paraId="27C89291" w14:textId="77777777" w:rsidTr="004131F6">
        <w:trPr>
          <w:trHeight w:val="60"/>
        </w:trPr>
        <w:tc>
          <w:tcPr>
            <w:tcW w:w="858" w:type="pct"/>
            <w:tcBorders>
              <w:top w:val="nil"/>
              <w:left w:val="nil"/>
              <w:bottom w:val="nil"/>
              <w:right w:val="nil"/>
            </w:tcBorders>
          </w:tcPr>
          <w:p w14:paraId="5761BC4C" w14:textId="77777777" w:rsidR="00596052" w:rsidRDefault="00596052" w:rsidP="004131F6">
            <w:pPr>
              <w:widowControl w:val="0"/>
              <w:autoSpaceDE w:val="0"/>
              <w:autoSpaceDN w:val="0"/>
              <w:adjustRightInd w:val="0"/>
              <w:spacing w:after="0" w:line="240" w:lineRule="auto"/>
              <w:rPr>
                <w:rFonts w:ascii="Garamond" w:hAnsi="Garamond"/>
                <w:sz w:val="20"/>
                <w:szCs w:val="20"/>
                <w:lang w:val="en-US"/>
              </w:rPr>
            </w:pPr>
            <w:proofErr w:type="spellStart"/>
            <w:r>
              <w:rPr>
                <w:rFonts w:ascii="Garamond" w:hAnsi="Garamond"/>
                <w:sz w:val="20"/>
                <w:szCs w:val="20"/>
                <w:lang w:val="en-US"/>
              </w:rPr>
              <w:lastRenderedPageBreak/>
              <w:t>Aucun</w:t>
            </w:r>
            <w:proofErr w:type="spellEnd"/>
            <w:r>
              <w:rPr>
                <w:rFonts w:ascii="Garamond" w:hAnsi="Garamond"/>
                <w:sz w:val="20"/>
                <w:szCs w:val="20"/>
                <w:lang w:val="en-US"/>
              </w:rPr>
              <w:t xml:space="preserve"> </w:t>
            </w:r>
            <w:proofErr w:type="spellStart"/>
            <w:r>
              <w:rPr>
                <w:rFonts w:ascii="Garamond" w:hAnsi="Garamond"/>
                <w:sz w:val="20"/>
                <w:szCs w:val="20"/>
                <w:lang w:val="en-US"/>
              </w:rPr>
              <w:t>niveau</w:t>
            </w:r>
            <w:proofErr w:type="spellEnd"/>
            <w:r>
              <w:rPr>
                <w:rFonts w:ascii="Garamond" w:hAnsi="Garamond"/>
                <w:sz w:val="20"/>
                <w:szCs w:val="20"/>
                <w:lang w:val="en-US"/>
              </w:rPr>
              <w:t xml:space="preserve"> </w:t>
            </w:r>
            <w:proofErr w:type="spellStart"/>
            <w:r>
              <w:rPr>
                <w:rFonts w:ascii="Garamond" w:hAnsi="Garamond"/>
                <w:sz w:val="20"/>
                <w:szCs w:val="20"/>
                <w:lang w:val="en-US"/>
              </w:rPr>
              <w:t>d’étude</w:t>
            </w:r>
            <w:proofErr w:type="spellEnd"/>
          </w:p>
        </w:tc>
        <w:tc>
          <w:tcPr>
            <w:tcW w:w="518" w:type="pct"/>
            <w:gridSpan w:val="2"/>
            <w:tcBorders>
              <w:top w:val="nil"/>
              <w:left w:val="nil"/>
              <w:bottom w:val="nil"/>
              <w:right w:val="nil"/>
            </w:tcBorders>
          </w:tcPr>
          <w:p w14:paraId="5B8186D3"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30</w:t>
            </w:r>
          </w:p>
        </w:tc>
        <w:tc>
          <w:tcPr>
            <w:tcW w:w="518" w:type="pct"/>
            <w:tcBorders>
              <w:top w:val="nil"/>
              <w:left w:val="nil"/>
              <w:bottom w:val="nil"/>
              <w:right w:val="nil"/>
            </w:tcBorders>
          </w:tcPr>
          <w:p w14:paraId="131E36FB"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270</w:t>
            </w:r>
          </w:p>
        </w:tc>
        <w:tc>
          <w:tcPr>
            <w:tcW w:w="518" w:type="pct"/>
            <w:tcBorders>
              <w:top w:val="nil"/>
              <w:left w:val="nil"/>
              <w:bottom w:val="nil"/>
              <w:right w:val="nil"/>
            </w:tcBorders>
          </w:tcPr>
          <w:p w14:paraId="092FE4F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.834</w:t>
            </w:r>
          </w:p>
        </w:tc>
        <w:tc>
          <w:tcPr>
            <w:tcW w:w="518" w:type="pct"/>
            <w:tcBorders>
              <w:top w:val="nil"/>
              <w:left w:val="nil"/>
              <w:bottom w:val="nil"/>
              <w:right w:val="nil"/>
            </w:tcBorders>
          </w:tcPr>
          <w:p w14:paraId="0D70CBC1"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.889</w:t>
            </w:r>
          </w:p>
        </w:tc>
        <w:tc>
          <w:tcPr>
            <w:tcW w:w="518" w:type="pct"/>
            <w:tcBorders>
              <w:top w:val="nil"/>
              <w:left w:val="nil"/>
              <w:bottom w:val="nil"/>
              <w:right w:val="nil"/>
            </w:tcBorders>
          </w:tcPr>
          <w:p w14:paraId="3B4558AC"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-.056</w:t>
            </w:r>
          </w:p>
        </w:tc>
        <w:tc>
          <w:tcPr>
            <w:tcW w:w="518" w:type="pct"/>
            <w:tcBorders>
              <w:top w:val="nil"/>
              <w:left w:val="nil"/>
              <w:bottom w:val="nil"/>
              <w:right w:val="nil"/>
            </w:tcBorders>
          </w:tcPr>
          <w:p w14:paraId="6E6782BE"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.062</w:t>
            </w:r>
          </w:p>
        </w:tc>
        <w:tc>
          <w:tcPr>
            <w:tcW w:w="518" w:type="pct"/>
            <w:tcBorders>
              <w:top w:val="nil"/>
              <w:left w:val="nil"/>
              <w:bottom w:val="nil"/>
              <w:right w:val="nil"/>
            </w:tcBorders>
          </w:tcPr>
          <w:p w14:paraId="140F9F13"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-.9</w:t>
            </w:r>
          </w:p>
        </w:tc>
        <w:tc>
          <w:tcPr>
            <w:tcW w:w="516" w:type="pct"/>
            <w:tcBorders>
              <w:top w:val="nil"/>
              <w:left w:val="nil"/>
              <w:bottom w:val="nil"/>
              <w:right w:val="nil"/>
            </w:tcBorders>
          </w:tcPr>
          <w:p w14:paraId="36564CAE"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.37</w:t>
            </w:r>
          </w:p>
        </w:tc>
      </w:tr>
      <w:tr w:rsidR="00596052" w14:paraId="3C995D22" w14:textId="77777777" w:rsidTr="004131F6">
        <w:trPr>
          <w:trHeight w:val="60"/>
        </w:trPr>
        <w:tc>
          <w:tcPr>
            <w:tcW w:w="858" w:type="pct"/>
            <w:tcBorders>
              <w:top w:val="nil"/>
              <w:left w:val="nil"/>
              <w:bottom w:val="nil"/>
              <w:right w:val="nil"/>
            </w:tcBorders>
          </w:tcPr>
          <w:p w14:paraId="54AB98F8" w14:textId="77777777" w:rsidR="00596052" w:rsidRDefault="00596052" w:rsidP="004131F6">
            <w:pPr>
              <w:widowControl w:val="0"/>
              <w:autoSpaceDE w:val="0"/>
              <w:autoSpaceDN w:val="0"/>
              <w:adjustRightInd w:val="0"/>
              <w:spacing w:after="0" w:line="240" w:lineRule="auto"/>
              <w:rPr>
                <w:rFonts w:ascii="Garamond" w:hAnsi="Garamond"/>
                <w:sz w:val="20"/>
                <w:szCs w:val="20"/>
                <w:lang w:val="en-US"/>
              </w:rPr>
            </w:pPr>
          </w:p>
        </w:tc>
        <w:tc>
          <w:tcPr>
            <w:tcW w:w="518" w:type="pct"/>
            <w:gridSpan w:val="2"/>
            <w:tcBorders>
              <w:top w:val="nil"/>
              <w:left w:val="nil"/>
              <w:bottom w:val="nil"/>
              <w:right w:val="nil"/>
            </w:tcBorders>
          </w:tcPr>
          <w:p w14:paraId="56184932"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7CBCDA9A"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741B452C"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5539934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1CD50DF3"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3484EB5C"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6A45F838"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6" w:type="pct"/>
            <w:tcBorders>
              <w:top w:val="nil"/>
              <w:left w:val="nil"/>
              <w:bottom w:val="nil"/>
              <w:right w:val="nil"/>
            </w:tcBorders>
          </w:tcPr>
          <w:p w14:paraId="19506758"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r>
      <w:tr w:rsidR="00596052" w14:paraId="51FAD2CC" w14:textId="77777777" w:rsidTr="004131F6">
        <w:trPr>
          <w:trHeight w:val="60"/>
        </w:trPr>
        <w:tc>
          <w:tcPr>
            <w:tcW w:w="858" w:type="pct"/>
            <w:tcBorders>
              <w:top w:val="nil"/>
              <w:left w:val="nil"/>
              <w:bottom w:val="nil"/>
              <w:right w:val="nil"/>
            </w:tcBorders>
          </w:tcPr>
          <w:p w14:paraId="6296A3BC" w14:textId="4ADED28B" w:rsidR="00596052" w:rsidRDefault="000D3E9F" w:rsidP="004131F6">
            <w:pPr>
              <w:widowControl w:val="0"/>
              <w:autoSpaceDE w:val="0"/>
              <w:autoSpaceDN w:val="0"/>
              <w:adjustRightInd w:val="0"/>
              <w:spacing w:after="0" w:line="240" w:lineRule="auto"/>
              <w:rPr>
                <w:rFonts w:ascii="Garamond" w:hAnsi="Garamond"/>
                <w:sz w:val="20"/>
                <w:szCs w:val="20"/>
                <w:lang w:val="en-US"/>
              </w:rPr>
            </w:pPr>
            <w:proofErr w:type="spellStart"/>
            <w:r>
              <w:rPr>
                <w:rFonts w:ascii="Garamond" w:hAnsi="Garamond"/>
                <w:sz w:val="20"/>
                <w:szCs w:val="20"/>
                <w:lang w:val="en-US"/>
              </w:rPr>
              <w:t>Nombre</w:t>
            </w:r>
            <w:proofErr w:type="spellEnd"/>
            <w:r>
              <w:rPr>
                <w:rFonts w:ascii="Garamond" w:hAnsi="Garamond"/>
                <w:sz w:val="20"/>
                <w:szCs w:val="20"/>
                <w:lang w:val="en-US"/>
              </w:rPr>
              <w:t xml:space="preserve"> </w:t>
            </w:r>
            <w:proofErr w:type="spellStart"/>
            <w:r w:rsidR="00596052">
              <w:rPr>
                <w:rFonts w:ascii="Garamond" w:hAnsi="Garamond"/>
                <w:sz w:val="20"/>
                <w:szCs w:val="20"/>
                <w:lang w:val="en-US"/>
              </w:rPr>
              <w:t>Bovins</w:t>
            </w:r>
            <w:proofErr w:type="spellEnd"/>
          </w:p>
        </w:tc>
        <w:tc>
          <w:tcPr>
            <w:tcW w:w="518" w:type="pct"/>
            <w:gridSpan w:val="2"/>
            <w:tcBorders>
              <w:top w:val="nil"/>
              <w:left w:val="nil"/>
              <w:bottom w:val="nil"/>
              <w:right w:val="nil"/>
            </w:tcBorders>
          </w:tcPr>
          <w:p w14:paraId="481460F4"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30</w:t>
            </w:r>
          </w:p>
        </w:tc>
        <w:tc>
          <w:tcPr>
            <w:tcW w:w="518" w:type="pct"/>
            <w:tcBorders>
              <w:top w:val="nil"/>
              <w:left w:val="nil"/>
              <w:bottom w:val="nil"/>
              <w:right w:val="nil"/>
            </w:tcBorders>
          </w:tcPr>
          <w:p w14:paraId="50D83B91"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269</w:t>
            </w:r>
          </w:p>
        </w:tc>
        <w:tc>
          <w:tcPr>
            <w:tcW w:w="518" w:type="pct"/>
            <w:tcBorders>
              <w:top w:val="nil"/>
              <w:left w:val="nil"/>
              <w:bottom w:val="nil"/>
              <w:right w:val="nil"/>
            </w:tcBorders>
          </w:tcPr>
          <w:p w14:paraId="12721C18"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1.167</w:t>
            </w:r>
          </w:p>
        </w:tc>
        <w:tc>
          <w:tcPr>
            <w:tcW w:w="518" w:type="pct"/>
            <w:tcBorders>
              <w:top w:val="nil"/>
              <w:left w:val="nil"/>
              <w:bottom w:val="nil"/>
              <w:right w:val="nil"/>
            </w:tcBorders>
          </w:tcPr>
          <w:p w14:paraId="3EAC8635"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1.866</w:t>
            </w:r>
          </w:p>
        </w:tc>
        <w:tc>
          <w:tcPr>
            <w:tcW w:w="518" w:type="pct"/>
            <w:tcBorders>
              <w:top w:val="nil"/>
              <w:left w:val="nil"/>
              <w:bottom w:val="nil"/>
              <w:right w:val="nil"/>
            </w:tcBorders>
          </w:tcPr>
          <w:p w14:paraId="7BA56FA6"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-.7</w:t>
            </w:r>
          </w:p>
        </w:tc>
        <w:tc>
          <w:tcPr>
            <w:tcW w:w="518" w:type="pct"/>
            <w:tcBorders>
              <w:top w:val="nil"/>
              <w:left w:val="nil"/>
              <w:bottom w:val="nil"/>
              <w:right w:val="nil"/>
            </w:tcBorders>
          </w:tcPr>
          <w:p w14:paraId="14B92FB0"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.188</w:t>
            </w:r>
          </w:p>
        </w:tc>
        <w:tc>
          <w:tcPr>
            <w:tcW w:w="518" w:type="pct"/>
            <w:tcBorders>
              <w:top w:val="nil"/>
              <w:left w:val="nil"/>
              <w:bottom w:val="nil"/>
              <w:right w:val="nil"/>
            </w:tcBorders>
          </w:tcPr>
          <w:p w14:paraId="1F673A7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-3.7</w:t>
            </w:r>
          </w:p>
        </w:tc>
        <w:tc>
          <w:tcPr>
            <w:tcW w:w="516" w:type="pct"/>
            <w:tcBorders>
              <w:top w:val="nil"/>
              <w:left w:val="nil"/>
              <w:bottom w:val="nil"/>
              <w:right w:val="nil"/>
            </w:tcBorders>
          </w:tcPr>
          <w:p w14:paraId="563BDF85"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w:t>
            </w:r>
          </w:p>
        </w:tc>
      </w:tr>
      <w:tr w:rsidR="00596052" w14:paraId="57ADC453" w14:textId="77777777" w:rsidTr="004131F6">
        <w:trPr>
          <w:trHeight w:val="60"/>
        </w:trPr>
        <w:tc>
          <w:tcPr>
            <w:tcW w:w="858" w:type="pct"/>
            <w:tcBorders>
              <w:top w:val="nil"/>
              <w:left w:val="nil"/>
              <w:bottom w:val="nil"/>
              <w:right w:val="nil"/>
            </w:tcBorders>
          </w:tcPr>
          <w:p w14:paraId="1E75C204" w14:textId="77777777" w:rsidR="00596052" w:rsidRDefault="00596052" w:rsidP="004131F6">
            <w:pPr>
              <w:widowControl w:val="0"/>
              <w:autoSpaceDE w:val="0"/>
              <w:autoSpaceDN w:val="0"/>
              <w:adjustRightInd w:val="0"/>
              <w:spacing w:after="0" w:line="240" w:lineRule="auto"/>
              <w:rPr>
                <w:rFonts w:ascii="Garamond" w:hAnsi="Garamond"/>
                <w:sz w:val="20"/>
                <w:szCs w:val="20"/>
                <w:lang w:val="en-US"/>
              </w:rPr>
            </w:pPr>
          </w:p>
        </w:tc>
        <w:tc>
          <w:tcPr>
            <w:tcW w:w="518" w:type="pct"/>
            <w:gridSpan w:val="2"/>
            <w:tcBorders>
              <w:top w:val="nil"/>
              <w:left w:val="nil"/>
              <w:bottom w:val="nil"/>
              <w:right w:val="nil"/>
            </w:tcBorders>
          </w:tcPr>
          <w:p w14:paraId="26A0C821"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012A6811"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52E711FE"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05AA117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686DFA5E"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5E2AE20E"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2E2F213B"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6" w:type="pct"/>
            <w:tcBorders>
              <w:top w:val="nil"/>
              <w:left w:val="nil"/>
              <w:bottom w:val="nil"/>
              <w:right w:val="nil"/>
            </w:tcBorders>
          </w:tcPr>
          <w:p w14:paraId="611AAEB8"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r>
      <w:tr w:rsidR="00596052" w14:paraId="163E3D60" w14:textId="77777777" w:rsidTr="004131F6">
        <w:trPr>
          <w:trHeight w:val="60"/>
        </w:trPr>
        <w:tc>
          <w:tcPr>
            <w:tcW w:w="858" w:type="pct"/>
            <w:tcBorders>
              <w:top w:val="nil"/>
              <w:left w:val="nil"/>
              <w:bottom w:val="nil"/>
              <w:right w:val="nil"/>
            </w:tcBorders>
          </w:tcPr>
          <w:p w14:paraId="40518B2E" w14:textId="21938988" w:rsidR="00596052" w:rsidRDefault="000D3E9F" w:rsidP="004131F6">
            <w:pPr>
              <w:widowControl w:val="0"/>
              <w:autoSpaceDE w:val="0"/>
              <w:autoSpaceDN w:val="0"/>
              <w:adjustRightInd w:val="0"/>
              <w:spacing w:after="0" w:line="240" w:lineRule="auto"/>
              <w:rPr>
                <w:rFonts w:ascii="Garamond" w:hAnsi="Garamond"/>
                <w:sz w:val="20"/>
                <w:szCs w:val="20"/>
                <w:lang w:val="en-US"/>
              </w:rPr>
            </w:pPr>
            <w:proofErr w:type="spellStart"/>
            <w:r>
              <w:rPr>
                <w:rFonts w:ascii="Garamond" w:hAnsi="Garamond"/>
                <w:sz w:val="20"/>
                <w:szCs w:val="20"/>
                <w:lang w:val="en-US"/>
              </w:rPr>
              <w:t>Nombre</w:t>
            </w:r>
            <w:proofErr w:type="spellEnd"/>
            <w:r>
              <w:rPr>
                <w:rFonts w:ascii="Garamond" w:hAnsi="Garamond"/>
                <w:sz w:val="20"/>
                <w:szCs w:val="20"/>
                <w:lang w:val="en-US"/>
              </w:rPr>
              <w:t xml:space="preserve"> </w:t>
            </w:r>
            <w:proofErr w:type="spellStart"/>
            <w:r w:rsidR="00596052">
              <w:rPr>
                <w:rFonts w:ascii="Garamond" w:hAnsi="Garamond"/>
                <w:sz w:val="20"/>
                <w:szCs w:val="20"/>
                <w:lang w:val="en-US"/>
              </w:rPr>
              <w:t>Ovins</w:t>
            </w:r>
            <w:proofErr w:type="spellEnd"/>
          </w:p>
        </w:tc>
        <w:tc>
          <w:tcPr>
            <w:tcW w:w="518" w:type="pct"/>
            <w:gridSpan w:val="2"/>
            <w:tcBorders>
              <w:top w:val="nil"/>
              <w:left w:val="nil"/>
              <w:bottom w:val="nil"/>
              <w:right w:val="nil"/>
            </w:tcBorders>
          </w:tcPr>
          <w:p w14:paraId="13553430"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30</w:t>
            </w:r>
          </w:p>
        </w:tc>
        <w:tc>
          <w:tcPr>
            <w:tcW w:w="518" w:type="pct"/>
            <w:tcBorders>
              <w:top w:val="nil"/>
              <w:left w:val="nil"/>
              <w:bottom w:val="nil"/>
              <w:right w:val="nil"/>
            </w:tcBorders>
          </w:tcPr>
          <w:p w14:paraId="46BFCC0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268</w:t>
            </w:r>
          </w:p>
        </w:tc>
        <w:tc>
          <w:tcPr>
            <w:tcW w:w="518" w:type="pct"/>
            <w:tcBorders>
              <w:top w:val="nil"/>
              <w:left w:val="nil"/>
              <w:bottom w:val="nil"/>
              <w:right w:val="nil"/>
            </w:tcBorders>
          </w:tcPr>
          <w:p w14:paraId="4704453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1.234</w:t>
            </w:r>
          </w:p>
        </w:tc>
        <w:tc>
          <w:tcPr>
            <w:tcW w:w="518" w:type="pct"/>
            <w:tcBorders>
              <w:top w:val="nil"/>
              <w:left w:val="nil"/>
              <w:bottom w:val="nil"/>
              <w:right w:val="nil"/>
            </w:tcBorders>
          </w:tcPr>
          <w:p w14:paraId="09E16E03"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1.702</w:t>
            </w:r>
          </w:p>
        </w:tc>
        <w:tc>
          <w:tcPr>
            <w:tcW w:w="518" w:type="pct"/>
            <w:tcBorders>
              <w:top w:val="nil"/>
              <w:left w:val="nil"/>
              <w:bottom w:val="nil"/>
              <w:right w:val="nil"/>
            </w:tcBorders>
          </w:tcPr>
          <w:p w14:paraId="284620B0"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-.468</w:t>
            </w:r>
          </w:p>
        </w:tc>
        <w:tc>
          <w:tcPr>
            <w:tcW w:w="518" w:type="pct"/>
            <w:tcBorders>
              <w:top w:val="nil"/>
              <w:left w:val="nil"/>
              <w:bottom w:val="nil"/>
              <w:right w:val="nil"/>
            </w:tcBorders>
          </w:tcPr>
          <w:p w14:paraId="2560D13D"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.153</w:t>
            </w:r>
          </w:p>
        </w:tc>
        <w:tc>
          <w:tcPr>
            <w:tcW w:w="518" w:type="pct"/>
            <w:tcBorders>
              <w:top w:val="nil"/>
              <w:left w:val="nil"/>
              <w:bottom w:val="nil"/>
              <w:right w:val="nil"/>
            </w:tcBorders>
          </w:tcPr>
          <w:p w14:paraId="0E47C7B6"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-3.05</w:t>
            </w:r>
          </w:p>
        </w:tc>
        <w:tc>
          <w:tcPr>
            <w:tcW w:w="516" w:type="pct"/>
            <w:tcBorders>
              <w:top w:val="nil"/>
              <w:left w:val="nil"/>
              <w:bottom w:val="nil"/>
              <w:right w:val="nil"/>
            </w:tcBorders>
          </w:tcPr>
          <w:p w14:paraId="72C54D95"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.003**</w:t>
            </w:r>
          </w:p>
        </w:tc>
      </w:tr>
      <w:tr w:rsidR="00596052" w14:paraId="0D2E9631" w14:textId="77777777" w:rsidTr="004131F6">
        <w:trPr>
          <w:trHeight w:val="60"/>
        </w:trPr>
        <w:tc>
          <w:tcPr>
            <w:tcW w:w="858" w:type="pct"/>
            <w:tcBorders>
              <w:top w:val="nil"/>
              <w:left w:val="nil"/>
              <w:bottom w:val="nil"/>
              <w:right w:val="nil"/>
            </w:tcBorders>
          </w:tcPr>
          <w:p w14:paraId="6CC5433F" w14:textId="77777777" w:rsidR="00596052" w:rsidRDefault="00596052" w:rsidP="004131F6">
            <w:pPr>
              <w:widowControl w:val="0"/>
              <w:autoSpaceDE w:val="0"/>
              <w:autoSpaceDN w:val="0"/>
              <w:adjustRightInd w:val="0"/>
              <w:spacing w:after="0" w:line="240" w:lineRule="auto"/>
              <w:rPr>
                <w:rFonts w:ascii="Garamond" w:hAnsi="Garamond"/>
                <w:sz w:val="20"/>
                <w:szCs w:val="20"/>
                <w:lang w:val="en-US"/>
              </w:rPr>
            </w:pPr>
          </w:p>
        </w:tc>
        <w:tc>
          <w:tcPr>
            <w:tcW w:w="518" w:type="pct"/>
            <w:gridSpan w:val="2"/>
            <w:tcBorders>
              <w:top w:val="nil"/>
              <w:left w:val="nil"/>
              <w:bottom w:val="nil"/>
              <w:right w:val="nil"/>
            </w:tcBorders>
          </w:tcPr>
          <w:p w14:paraId="66B1AAA4"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48EC3F01"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2A39D2A5"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0752D026"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0F07EADE"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3DCA0ECE"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nil"/>
              <w:right w:val="nil"/>
            </w:tcBorders>
          </w:tcPr>
          <w:p w14:paraId="0BA6CB9B"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6" w:type="pct"/>
            <w:tcBorders>
              <w:top w:val="nil"/>
              <w:left w:val="nil"/>
              <w:bottom w:val="nil"/>
              <w:right w:val="nil"/>
            </w:tcBorders>
          </w:tcPr>
          <w:p w14:paraId="18DDB9D3"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r>
      <w:tr w:rsidR="00596052" w14:paraId="08E5EC9C" w14:textId="77777777" w:rsidTr="004131F6">
        <w:trPr>
          <w:trHeight w:val="60"/>
        </w:trPr>
        <w:tc>
          <w:tcPr>
            <w:tcW w:w="858" w:type="pct"/>
            <w:tcBorders>
              <w:top w:val="nil"/>
              <w:left w:val="nil"/>
              <w:bottom w:val="nil"/>
              <w:right w:val="nil"/>
            </w:tcBorders>
          </w:tcPr>
          <w:p w14:paraId="4F4494AA" w14:textId="6D3EFF61" w:rsidR="00596052" w:rsidRDefault="000D3E9F" w:rsidP="004131F6">
            <w:pPr>
              <w:widowControl w:val="0"/>
              <w:autoSpaceDE w:val="0"/>
              <w:autoSpaceDN w:val="0"/>
              <w:adjustRightInd w:val="0"/>
              <w:spacing w:after="0" w:line="240" w:lineRule="auto"/>
              <w:rPr>
                <w:rFonts w:ascii="Garamond" w:hAnsi="Garamond"/>
                <w:sz w:val="20"/>
                <w:szCs w:val="20"/>
                <w:lang w:val="en-US"/>
              </w:rPr>
            </w:pPr>
            <w:proofErr w:type="spellStart"/>
            <w:r>
              <w:rPr>
                <w:rFonts w:ascii="Garamond" w:hAnsi="Garamond"/>
                <w:sz w:val="20"/>
                <w:szCs w:val="20"/>
                <w:lang w:val="en-US"/>
              </w:rPr>
              <w:t>Nombre</w:t>
            </w:r>
            <w:proofErr w:type="spellEnd"/>
            <w:r>
              <w:rPr>
                <w:rFonts w:ascii="Garamond" w:hAnsi="Garamond"/>
                <w:sz w:val="20"/>
                <w:szCs w:val="20"/>
                <w:lang w:val="en-US"/>
              </w:rPr>
              <w:t xml:space="preserve"> </w:t>
            </w:r>
            <w:proofErr w:type="spellStart"/>
            <w:r w:rsidR="00596052">
              <w:rPr>
                <w:rFonts w:ascii="Garamond" w:hAnsi="Garamond"/>
                <w:sz w:val="20"/>
                <w:szCs w:val="20"/>
                <w:lang w:val="en-US"/>
              </w:rPr>
              <w:t>Caprins</w:t>
            </w:r>
            <w:proofErr w:type="spellEnd"/>
          </w:p>
        </w:tc>
        <w:tc>
          <w:tcPr>
            <w:tcW w:w="518" w:type="pct"/>
            <w:gridSpan w:val="2"/>
            <w:tcBorders>
              <w:top w:val="nil"/>
              <w:left w:val="nil"/>
              <w:bottom w:val="nil"/>
              <w:right w:val="nil"/>
            </w:tcBorders>
          </w:tcPr>
          <w:p w14:paraId="150826C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30</w:t>
            </w:r>
          </w:p>
        </w:tc>
        <w:tc>
          <w:tcPr>
            <w:tcW w:w="518" w:type="pct"/>
            <w:tcBorders>
              <w:top w:val="nil"/>
              <w:left w:val="nil"/>
              <w:bottom w:val="nil"/>
              <w:right w:val="nil"/>
            </w:tcBorders>
          </w:tcPr>
          <w:p w14:paraId="74C59FF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270</w:t>
            </w:r>
          </w:p>
        </w:tc>
        <w:tc>
          <w:tcPr>
            <w:tcW w:w="518" w:type="pct"/>
            <w:tcBorders>
              <w:top w:val="nil"/>
              <w:left w:val="nil"/>
              <w:bottom w:val="nil"/>
              <w:right w:val="nil"/>
            </w:tcBorders>
          </w:tcPr>
          <w:p w14:paraId="5C9800CE"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1.4</w:t>
            </w:r>
          </w:p>
        </w:tc>
        <w:tc>
          <w:tcPr>
            <w:tcW w:w="518" w:type="pct"/>
            <w:tcBorders>
              <w:top w:val="nil"/>
              <w:left w:val="nil"/>
              <w:bottom w:val="nil"/>
              <w:right w:val="nil"/>
            </w:tcBorders>
          </w:tcPr>
          <w:p w14:paraId="4E63D2C0"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4.015</w:t>
            </w:r>
          </w:p>
        </w:tc>
        <w:tc>
          <w:tcPr>
            <w:tcW w:w="518" w:type="pct"/>
            <w:tcBorders>
              <w:top w:val="nil"/>
              <w:left w:val="nil"/>
              <w:bottom w:val="nil"/>
              <w:right w:val="nil"/>
            </w:tcBorders>
          </w:tcPr>
          <w:p w14:paraId="6698E983"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-2.615</w:t>
            </w:r>
          </w:p>
        </w:tc>
        <w:tc>
          <w:tcPr>
            <w:tcW w:w="518" w:type="pct"/>
            <w:tcBorders>
              <w:top w:val="nil"/>
              <w:left w:val="nil"/>
              <w:bottom w:val="nil"/>
              <w:right w:val="nil"/>
            </w:tcBorders>
          </w:tcPr>
          <w:p w14:paraId="134337A9"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.799</w:t>
            </w:r>
          </w:p>
        </w:tc>
        <w:tc>
          <w:tcPr>
            <w:tcW w:w="518" w:type="pct"/>
            <w:tcBorders>
              <w:top w:val="nil"/>
              <w:left w:val="nil"/>
              <w:bottom w:val="nil"/>
              <w:right w:val="nil"/>
            </w:tcBorders>
          </w:tcPr>
          <w:p w14:paraId="14BB058B"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-3.25</w:t>
            </w:r>
          </w:p>
        </w:tc>
        <w:tc>
          <w:tcPr>
            <w:tcW w:w="516" w:type="pct"/>
            <w:tcBorders>
              <w:top w:val="nil"/>
              <w:left w:val="nil"/>
              <w:bottom w:val="nil"/>
              <w:right w:val="nil"/>
            </w:tcBorders>
          </w:tcPr>
          <w:p w14:paraId="65D07358"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r>
              <w:rPr>
                <w:rFonts w:ascii="Garamond" w:hAnsi="Garamond"/>
                <w:sz w:val="20"/>
                <w:szCs w:val="20"/>
                <w:lang w:val="en-US"/>
              </w:rPr>
              <w:t>.001**</w:t>
            </w:r>
          </w:p>
        </w:tc>
      </w:tr>
      <w:tr w:rsidR="00596052" w14:paraId="6B6C6A04" w14:textId="77777777" w:rsidTr="004131F6">
        <w:trPr>
          <w:trHeight w:val="60"/>
        </w:trPr>
        <w:tc>
          <w:tcPr>
            <w:tcW w:w="858" w:type="pct"/>
            <w:tcBorders>
              <w:top w:val="nil"/>
              <w:left w:val="nil"/>
              <w:bottom w:val="single" w:sz="4" w:space="0" w:color="auto"/>
              <w:right w:val="nil"/>
            </w:tcBorders>
          </w:tcPr>
          <w:p w14:paraId="77B2D6E3" w14:textId="77777777" w:rsidR="00596052" w:rsidRDefault="00596052" w:rsidP="004131F6">
            <w:pPr>
              <w:widowControl w:val="0"/>
              <w:autoSpaceDE w:val="0"/>
              <w:autoSpaceDN w:val="0"/>
              <w:adjustRightInd w:val="0"/>
              <w:spacing w:after="0" w:line="240" w:lineRule="auto"/>
              <w:rPr>
                <w:rFonts w:ascii="Garamond" w:hAnsi="Garamond"/>
                <w:sz w:val="20"/>
                <w:szCs w:val="20"/>
                <w:lang w:val="en-US"/>
              </w:rPr>
            </w:pPr>
          </w:p>
        </w:tc>
        <w:tc>
          <w:tcPr>
            <w:tcW w:w="518" w:type="pct"/>
            <w:gridSpan w:val="2"/>
            <w:tcBorders>
              <w:top w:val="nil"/>
              <w:left w:val="nil"/>
              <w:bottom w:val="single" w:sz="4" w:space="0" w:color="auto"/>
              <w:right w:val="nil"/>
            </w:tcBorders>
          </w:tcPr>
          <w:p w14:paraId="22EAC7D7"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single" w:sz="4" w:space="0" w:color="auto"/>
              <w:right w:val="nil"/>
            </w:tcBorders>
          </w:tcPr>
          <w:p w14:paraId="240142DF"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single" w:sz="4" w:space="0" w:color="auto"/>
              <w:right w:val="nil"/>
            </w:tcBorders>
          </w:tcPr>
          <w:p w14:paraId="5F6F2E97"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single" w:sz="4" w:space="0" w:color="auto"/>
              <w:right w:val="nil"/>
            </w:tcBorders>
          </w:tcPr>
          <w:p w14:paraId="475B3EEE"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single" w:sz="4" w:space="0" w:color="auto"/>
              <w:right w:val="nil"/>
            </w:tcBorders>
          </w:tcPr>
          <w:p w14:paraId="128A15C4"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single" w:sz="4" w:space="0" w:color="auto"/>
              <w:right w:val="nil"/>
            </w:tcBorders>
          </w:tcPr>
          <w:p w14:paraId="5671C9DB"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8" w:type="pct"/>
            <w:tcBorders>
              <w:top w:val="nil"/>
              <w:left w:val="nil"/>
              <w:bottom w:val="single" w:sz="4" w:space="0" w:color="auto"/>
              <w:right w:val="nil"/>
            </w:tcBorders>
          </w:tcPr>
          <w:p w14:paraId="6659C59A" w14:textId="77777777" w:rsidR="00596052" w:rsidRDefault="00596052" w:rsidP="004131F6">
            <w:pPr>
              <w:widowControl w:val="0"/>
              <w:autoSpaceDE w:val="0"/>
              <w:autoSpaceDN w:val="0"/>
              <w:adjustRightInd w:val="0"/>
              <w:spacing w:after="0" w:line="240" w:lineRule="auto"/>
              <w:jc w:val="right"/>
              <w:rPr>
                <w:rFonts w:ascii="Garamond" w:hAnsi="Garamond"/>
                <w:sz w:val="20"/>
                <w:szCs w:val="20"/>
                <w:lang w:val="en-US"/>
              </w:rPr>
            </w:pPr>
          </w:p>
        </w:tc>
        <w:tc>
          <w:tcPr>
            <w:tcW w:w="516" w:type="pct"/>
            <w:tcBorders>
              <w:top w:val="nil"/>
              <w:left w:val="nil"/>
              <w:bottom w:val="single" w:sz="4" w:space="0" w:color="auto"/>
              <w:right w:val="nil"/>
            </w:tcBorders>
          </w:tcPr>
          <w:p w14:paraId="1CFE8621" w14:textId="77777777" w:rsidR="00596052" w:rsidRDefault="00596052" w:rsidP="004131F6">
            <w:pPr>
              <w:keepNext/>
              <w:widowControl w:val="0"/>
              <w:autoSpaceDE w:val="0"/>
              <w:autoSpaceDN w:val="0"/>
              <w:adjustRightInd w:val="0"/>
              <w:spacing w:after="0" w:line="240" w:lineRule="auto"/>
              <w:jc w:val="right"/>
              <w:rPr>
                <w:rFonts w:ascii="Garamond" w:hAnsi="Garamond"/>
                <w:sz w:val="20"/>
                <w:szCs w:val="20"/>
                <w:lang w:val="en-US"/>
              </w:rPr>
            </w:pPr>
          </w:p>
        </w:tc>
      </w:tr>
    </w:tbl>
    <w:p w14:paraId="54D4B76B" w14:textId="77777777" w:rsidR="00596052" w:rsidRDefault="00596052" w:rsidP="00861EC1">
      <w:pPr>
        <w:jc w:val="both"/>
      </w:pPr>
    </w:p>
    <w:p w14:paraId="1B0E2EF3" w14:textId="77777777" w:rsidR="00C24EA1" w:rsidRDefault="00224B5F" w:rsidP="0056146E">
      <w:pPr>
        <w:pStyle w:val="Titre1"/>
        <w:numPr>
          <w:ilvl w:val="0"/>
          <w:numId w:val="1"/>
        </w:numPr>
        <w:jc w:val="both"/>
      </w:pPr>
      <w:bookmarkStart w:id="117" w:name="_Toc17840347"/>
      <w:r>
        <w:t>Discussions et Recommandations</w:t>
      </w:r>
      <w:bookmarkEnd w:id="117"/>
      <w:r>
        <w:t xml:space="preserve"> </w:t>
      </w:r>
    </w:p>
    <w:p w14:paraId="0A2BCDD6" w14:textId="77777777" w:rsidR="003E2BF2" w:rsidRDefault="003E2BF2" w:rsidP="00861EC1">
      <w:pPr>
        <w:jc w:val="both"/>
      </w:pPr>
      <w:r>
        <w:t xml:space="preserve">Notre étude est effectuée dans un contexte de réflexion et de dialogue autour de la question de solutions d’assurance bétail pour l’élevage pastoral en milieu rural. </w:t>
      </w:r>
      <w:r w:rsidR="009A232C">
        <w:t>Elle a comme objectif de capter la perception que les éleveurs ont vis-à-vis de l’assurance bétail en général à travers leur appréciation de l’assurance indicielle mais également de l’assur</w:t>
      </w:r>
      <w:r w:rsidR="00C604FE">
        <w:t>ance classique pour couvrir leur activités d’élevages contre les risques qui leur posent le plus de problèmes. A travers une enquête effectuée auprès de 300 éleveurs dans différents système d’élevage, pastoral ou agro-pastoral de 5 départements du pays, nous avons pu obtenir des informations intéressantes qui nous ont renseigné sur la perception des éleveurs vis-à-vis de l’assurance. En plus, parce que les éleveurs ont été choisis de manière aléatoire dans la population de l’étude, nos résultats sont valables pour tous les éleveurs qui pratiquent l’élevage pastoral ou agro-pastorale dans tous les 5 départements.</w:t>
      </w:r>
    </w:p>
    <w:p w14:paraId="4D844F00" w14:textId="77B88458" w:rsidR="00287FAF" w:rsidRDefault="00011716" w:rsidP="0056146E">
      <w:pPr>
        <w:pStyle w:val="Titre2"/>
        <w:numPr>
          <w:ilvl w:val="0"/>
          <w:numId w:val="18"/>
        </w:numPr>
        <w:jc w:val="both"/>
      </w:pPr>
      <w:bookmarkStart w:id="118" w:name="_Toc17840348"/>
      <w:r>
        <w:t>L</w:t>
      </w:r>
      <w:r w:rsidR="00287FAF">
        <w:t>a communication et la sensibilisation sur l’assurance bétail</w:t>
      </w:r>
      <w:bookmarkEnd w:id="118"/>
    </w:p>
    <w:p w14:paraId="67D79F0B" w14:textId="77777777" w:rsidR="00C604FE" w:rsidRDefault="00C604FE" w:rsidP="00861EC1">
      <w:pPr>
        <w:jc w:val="both"/>
      </w:pPr>
      <w:r>
        <w:t>Nos résultats on</w:t>
      </w:r>
      <w:r w:rsidR="00350CF3">
        <w:t xml:space="preserve">t montré que tous les éleveurs ont une connaissance générale de l’assurance et comme la plupart des sénégalais, ils en ont entendu parlé d’une manière ou d’une autre de l’assurance automobile. </w:t>
      </w:r>
      <w:r w:rsidR="00B15BA0">
        <w:t xml:space="preserve">C’est au niveau de l’assurance bétail et de l’assurance agricole où il y a une faible connaissance de l’existence des produits. Coté expérience, seul 1% d’entre eux ont une expérience concrète d’achat de l’assurance bétail. Cela montre qu’il y a encore d’énormes efforts à faire en termes de sensibilisation pour faire connaitre aux éleveurs l’assurance bétail surtout si on sait que des produits classiques existent au Sénégal pour ce type d’assurance depuis bientôt 10 ans. On pourrait donc confirmer le résultat selon lequel l’assurance bétail classique n’est pas connu des systèmes d’élevage pastoraux et agro-pastoraux sénégalais. Il s’agirait d’un produit d’assurance qui en effet n’est achetée </w:t>
      </w:r>
      <w:r w:rsidR="00287FAF">
        <w:t>que par les éleveurs qui pratiquent</w:t>
      </w:r>
      <w:r w:rsidR="00B15BA0">
        <w:t xml:space="preserve"> l’éleva</w:t>
      </w:r>
      <w:r w:rsidR="00287FAF">
        <w:t>ge intensif.</w:t>
      </w:r>
    </w:p>
    <w:p w14:paraId="55FD665A" w14:textId="0063B463" w:rsidR="00287FAF" w:rsidRDefault="00287FAF" w:rsidP="00861EC1">
      <w:pPr>
        <w:jc w:val="both"/>
      </w:pPr>
      <w:r>
        <w:t>Nous pensons que la communication via des émissions de radio, notamment les radios communautaires pourraient</w:t>
      </w:r>
      <w:r w:rsidR="00F21204">
        <w:t xml:space="preserve"> contribuer fortement à faire connaitre l’assurance bétail par les éleveurs. En effet, nos résultats sur les matériels électroniques possédés par le ménage ont révélé que presque la totalité des éleveurs possèdent un poste radio ce qui n’est pas le cas pour les téléviseurs. Cela peut donc constituer un important outil d’éducation financière en général dans les zones concernées. Par ailleurs les réseaux peuvent servir d’importants moyens pour diffuser les informations auprès des membres d’organisations d’éleveurs. En effet, </w:t>
      </w:r>
      <w:r w:rsidR="00A50B51">
        <w:t xml:space="preserve">20% des éleveurs ont déclarés être membre d’une association d’éleveurs. Ajouté au fait que le taux de pénétration de la téléphonie mobile dépasse les 90% dans les ménages étudiés, la transmission de l’information via les réseaux d’éleveurs </w:t>
      </w:r>
      <w:r w:rsidR="00E848A3">
        <w:t>pourrait</w:t>
      </w:r>
      <w:r w:rsidR="00A50B51">
        <w:t xml:space="preserve"> être une</w:t>
      </w:r>
      <w:r w:rsidR="00D603AE">
        <w:t xml:space="preserve"> piste intéressante à explorer même si, seuls 20% des éleveurs enquêtés on déclarés être membres d’une association.</w:t>
      </w:r>
    </w:p>
    <w:p w14:paraId="4C766110" w14:textId="77777777" w:rsidR="006325B9" w:rsidRDefault="00B93E33" w:rsidP="006325B9">
      <w:pPr>
        <w:keepNext/>
      </w:pPr>
      <w:r>
        <w:rPr>
          <w:noProof/>
          <w:lang w:eastAsia="fr-FR"/>
        </w:rPr>
        <w:lastRenderedPageBreak/>
        <w:drawing>
          <wp:inline distT="0" distB="0" distL="0" distR="0" wp14:anchorId="55D5025B" wp14:editId="67C842F5">
            <wp:extent cx="4572000" cy="2743200"/>
            <wp:effectExtent l="0" t="0" r="0" b="0"/>
            <wp:docPr id="11" name="Graphique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754C601C" w14:textId="387A88F2" w:rsidR="00B93E33" w:rsidRDefault="006325B9" w:rsidP="006325B9">
      <w:pPr>
        <w:pStyle w:val="Lgende"/>
      </w:pPr>
      <w:bookmarkStart w:id="119" w:name="_Toc17839447"/>
      <w:bookmarkStart w:id="120" w:name="_Toc17840195"/>
      <w:r>
        <w:t xml:space="preserve">Figure </w:t>
      </w:r>
      <w:r w:rsidR="008339A9">
        <w:rPr>
          <w:noProof/>
        </w:rPr>
        <w:fldChar w:fldCharType="begin"/>
      </w:r>
      <w:r w:rsidR="008339A9">
        <w:rPr>
          <w:noProof/>
        </w:rPr>
        <w:instrText xml:space="preserve"> SEQ Figure \* ARABIC </w:instrText>
      </w:r>
      <w:r w:rsidR="008339A9">
        <w:rPr>
          <w:noProof/>
        </w:rPr>
        <w:fldChar w:fldCharType="separate"/>
      </w:r>
      <w:r w:rsidR="002A0AC7">
        <w:rPr>
          <w:noProof/>
        </w:rPr>
        <w:t>44</w:t>
      </w:r>
      <w:r w:rsidR="008339A9">
        <w:rPr>
          <w:noProof/>
        </w:rPr>
        <w:fldChar w:fldCharType="end"/>
      </w:r>
      <w:r>
        <w:t>: Adhésion à une association d'éleveurs</w:t>
      </w:r>
      <w:bookmarkEnd w:id="119"/>
      <w:bookmarkEnd w:id="120"/>
    </w:p>
    <w:p w14:paraId="0E101513" w14:textId="6CA15335" w:rsidR="00E848A3" w:rsidRDefault="00E848A3" w:rsidP="0056146E">
      <w:pPr>
        <w:pStyle w:val="Titre2"/>
        <w:numPr>
          <w:ilvl w:val="0"/>
          <w:numId w:val="18"/>
        </w:numPr>
      </w:pPr>
      <w:bookmarkStart w:id="121" w:name="_Toc17840349"/>
      <w:r>
        <w:t>Assurer quel risque avec quel type d’assurance</w:t>
      </w:r>
      <w:r w:rsidR="00861EC1">
        <w:t> ?</w:t>
      </w:r>
      <w:bookmarkEnd w:id="121"/>
      <w:r w:rsidR="00861EC1">
        <w:t xml:space="preserve"> </w:t>
      </w:r>
    </w:p>
    <w:p w14:paraId="1A0539F8" w14:textId="0A8DB961" w:rsidR="00E848A3" w:rsidRDefault="00E848A3" w:rsidP="00861EC1">
      <w:pPr>
        <w:jc w:val="both"/>
      </w:pPr>
      <w:r>
        <w:t>Le résultat sur la nécessité d’assurer le ris</w:t>
      </w:r>
      <w:r w:rsidR="00BE3BCE">
        <w:t>que de déficit pluviométrique est sans appel. Les populations enquêtées sont constituées d’éleveurs qui pratiquent la transhumance en suivant les zones de pâturage. Toutefois, ils ont à travers différentes questions concernant les chocs auxquels ils font face et le risque qu’ils veulent assurer, mis l’accent sur le fait que ce sont les pluies insuffisantes qui leurs posaient le plus de problèmes liés à l’alimentation du bétail et que cela est le premier risque qu’il souhaiteraient assurer. On pourrait naturellement s’attendre à ce que le vol de bétail soit le premier risque qu’ils me</w:t>
      </w:r>
      <w:r w:rsidR="0094424F">
        <w:t>ttraient en avant mais il y a 27</w:t>
      </w:r>
      <w:r w:rsidR="00BE3BCE">
        <w:t>% de plus d’éleveurs qui veulent assurer l’insuffisance des pluies</w:t>
      </w:r>
      <w:r w:rsidR="0094424F">
        <w:t xml:space="preserve"> (80% des éleveurs)</w:t>
      </w:r>
      <w:r w:rsidR="00BE3BCE">
        <w:t xml:space="preserve"> que d’éleveurs qui veulent assurer le vol du bétail</w:t>
      </w:r>
      <w:r w:rsidR="0094424F">
        <w:t xml:space="preserve"> (53% des éleveurs)</w:t>
      </w:r>
      <w:r w:rsidR="00BE3BCE">
        <w:t xml:space="preserve">. </w:t>
      </w:r>
      <w:r w:rsidR="0094424F">
        <w:t>Cela peut être expliqué par les changements climatiques et leur impact à travers la</w:t>
      </w:r>
      <w:r w:rsidR="00A94CDF">
        <w:t xml:space="preserve"> baisse du niveau de</w:t>
      </w:r>
      <w:r w:rsidR="0094424F">
        <w:t xml:space="preserve"> pluviosité sur la disponibilité des pâturages</w:t>
      </w:r>
      <w:r w:rsidR="00A94CDF">
        <w:t>. Ce</w:t>
      </w:r>
      <w:r w:rsidR="0094424F">
        <w:t xml:space="preserve"> qui donne de plus en plus d’ampleur au risque </w:t>
      </w:r>
      <w:r w:rsidR="00A94CDF">
        <w:t xml:space="preserve">de sécheresse alors que parallèlement, le vol du bétail a été criminalisé et de plus en plus de mesures politiques fortes sont </w:t>
      </w:r>
      <w:r w:rsidR="00861EC1">
        <w:t>pris</w:t>
      </w:r>
      <w:r w:rsidR="00ED2560">
        <w:t>es</w:t>
      </w:r>
      <w:r w:rsidR="00A94CDF">
        <w:t xml:space="preserve"> pour lutter contre ce fléau.</w:t>
      </w:r>
    </w:p>
    <w:p w14:paraId="558D9E2F" w14:textId="77777777" w:rsidR="004D08C8" w:rsidRDefault="004D08C8" w:rsidP="00861EC1">
      <w:pPr>
        <w:jc w:val="both"/>
      </w:pPr>
      <w:r>
        <w:t xml:space="preserve">Naturellement, l’assurance indicielle bétail ressort comme le type d’assurance souhaité par les éleveurs. Cela est en conformité avec les chocs qu’ils ont déclarés et les risques qu’ils veulent assurer. De plus les explications que les enquêteurs ont donné à chaque éleveur enquêté sur la différence entre l’assurance indicielle bétail et l’assurance bétail classique repose sur un produit indicielle sécheresse qui indemnise en cas de pluies insuffisantes au point d’affecter la disponibilité de la biomasse. </w:t>
      </w:r>
      <w:r w:rsidR="00847668">
        <w:t xml:space="preserve">C’est ainsi que 70% des éleveurs préfèrent l’assurance indicielle alors que seuls 15% </w:t>
      </w:r>
      <w:r w:rsidR="00721C19">
        <w:t xml:space="preserve">préfèrent l’assurance classique et les 15% restants sont indifférents. Sur la base de ces résultats, nous pensons que l’assurance indicielle bétail intéresse vraiment les éleveurs et, comme le pense la CNAAS, elles pourraient constituer un moyen de permettre aux systèmes d’élevage pastoral et agro-pastoral de bénéficier de ses services. </w:t>
      </w:r>
    </w:p>
    <w:p w14:paraId="63031F4A" w14:textId="77777777" w:rsidR="002A0AC7" w:rsidRDefault="00B93E33" w:rsidP="002A0AC7">
      <w:pPr>
        <w:keepNext/>
      </w:pPr>
      <w:r>
        <w:rPr>
          <w:noProof/>
          <w:lang w:eastAsia="fr-FR"/>
        </w:rPr>
        <w:lastRenderedPageBreak/>
        <w:drawing>
          <wp:inline distT="0" distB="0" distL="0" distR="0" wp14:anchorId="08BDB269" wp14:editId="70720DDB">
            <wp:extent cx="4572000" cy="2743200"/>
            <wp:effectExtent l="0" t="0" r="0" b="0"/>
            <wp:docPr id="12" name="Graphique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34FA48AB" w14:textId="38D5D847" w:rsidR="00B93E33" w:rsidRDefault="002A0AC7" w:rsidP="002A0AC7">
      <w:pPr>
        <w:pStyle w:val="Lgende"/>
      </w:pPr>
      <w:bookmarkStart w:id="122" w:name="_Toc17840196"/>
      <w:r>
        <w:t xml:space="preserve">Figure </w:t>
      </w:r>
      <w:r w:rsidR="008339A9">
        <w:rPr>
          <w:noProof/>
        </w:rPr>
        <w:fldChar w:fldCharType="begin"/>
      </w:r>
      <w:r w:rsidR="008339A9">
        <w:rPr>
          <w:noProof/>
        </w:rPr>
        <w:instrText xml:space="preserve"> SEQ Figure \* ARABIC </w:instrText>
      </w:r>
      <w:r w:rsidR="008339A9">
        <w:rPr>
          <w:noProof/>
        </w:rPr>
        <w:fldChar w:fldCharType="separate"/>
      </w:r>
      <w:r>
        <w:rPr>
          <w:noProof/>
        </w:rPr>
        <w:t>45</w:t>
      </w:r>
      <w:r w:rsidR="008339A9">
        <w:rPr>
          <w:noProof/>
        </w:rPr>
        <w:fldChar w:fldCharType="end"/>
      </w:r>
      <w:r>
        <w:t>: Préférence entre l'assurance classique et l'assurance indicielle</w:t>
      </w:r>
      <w:bookmarkEnd w:id="122"/>
    </w:p>
    <w:p w14:paraId="34A5EDE7" w14:textId="48E1EB85" w:rsidR="00362F27" w:rsidRDefault="00362F27" w:rsidP="0056146E">
      <w:pPr>
        <w:pStyle w:val="Titre2"/>
        <w:numPr>
          <w:ilvl w:val="0"/>
          <w:numId w:val="18"/>
        </w:numPr>
      </w:pPr>
      <w:bookmarkStart w:id="123" w:name="_Toc17840350"/>
      <w:r w:rsidRPr="005D6E37">
        <w:t>Quel</w:t>
      </w:r>
      <w:r w:rsidR="00312053" w:rsidRPr="005D6E37">
        <w:t>le tarification pour un potentiel produit d’assurance indicielle bétail ?</w:t>
      </w:r>
      <w:bookmarkEnd w:id="123"/>
    </w:p>
    <w:p w14:paraId="50EBC3FD" w14:textId="207DDC35" w:rsidR="007F1493" w:rsidRDefault="00C8542B" w:rsidP="00707EC6">
      <w:pPr>
        <w:jc w:val="both"/>
      </w:pPr>
      <w:r>
        <w:t>Dans notre analyse, nous nous sommes intéressé au consentement à payer et</w:t>
      </w:r>
      <w:r w:rsidR="00654067">
        <w:t xml:space="preserve"> pour se faire</w:t>
      </w:r>
      <w:r>
        <w:t xml:space="preserve"> nous avons donné aux éleveurs la possibilité de se prononcer sur différentes offres de polices d’assurance. Ces offres ont concerné une assurance pour (1) une seule tête du troupeau, (2) les 5 têtes les plus importantes du troupeau, (3) tout le troupeau, (4) chaque valeur de 100 000 FCFA du troupeau. Pour chaque offre, les éleveurs ont donné un montant qu’ils sont disposés à payer pour assurer le bétail contre un risque spécifique. </w:t>
      </w:r>
      <w:r w:rsidR="00541B47">
        <w:t xml:space="preserve">Au sortir de cette </w:t>
      </w:r>
      <w:r>
        <w:t>analyse</w:t>
      </w:r>
      <w:r w:rsidR="00541B47">
        <w:t>, nous pouvons remarquer déjà qu’il se dégage des orientations plus ou moins clair</w:t>
      </w:r>
      <w:r w:rsidR="00071911">
        <w:t>es</w:t>
      </w:r>
      <w:r w:rsidR="00541B47">
        <w:t xml:space="preserve"> sur les caractéristiques du produit d’assurance qui intéresse les éleveurs pastoraux et qui pourraient donc </w:t>
      </w:r>
      <w:r w:rsidR="007F1493">
        <w:t>marcher pour ce type d’élevage.</w:t>
      </w:r>
    </w:p>
    <w:p w14:paraId="06C0D87D" w14:textId="11E813E4" w:rsidR="00541B47" w:rsidRPr="00E848A3" w:rsidRDefault="00541B47" w:rsidP="00707EC6">
      <w:pPr>
        <w:jc w:val="both"/>
      </w:pPr>
      <w:r>
        <w:t>Tout d’abord le risque à couvrir dans le cadre d’une assu</w:t>
      </w:r>
      <w:r w:rsidR="005F3970">
        <w:t xml:space="preserve">rance indicielle demeure </w:t>
      </w:r>
      <w:r>
        <w:t>le risque de déficit pluviométrique</w:t>
      </w:r>
      <w:r w:rsidR="005F3970">
        <w:t xml:space="preserve"> comme nous l’avons déjà expliqué</w:t>
      </w:r>
      <w:r>
        <w:t xml:space="preserve">. </w:t>
      </w:r>
      <w:r w:rsidR="004C1F75">
        <w:t>Ensuite, c’est l’</w:t>
      </w:r>
      <w:r w:rsidR="00071911">
        <w:t>offre qui a donné l</w:t>
      </w:r>
      <w:r w:rsidR="004C1F75">
        <w:t>es résultats de consentement à payer les plus élevés</w:t>
      </w:r>
      <w:r w:rsidR="00071911">
        <w:t xml:space="preserve"> si l’on prend en compte la valeur du troupeau</w:t>
      </w:r>
      <w:r w:rsidR="004C1F75">
        <w:t>. En effet, pour assurer les animaux par tête, il est nécessaire de procéder à une évaluation de la valeur de l’animal à assurer. Il en est de même lorsqu’il s’agit d’assurer tout le troupeau. De plus, lorsqu’il s’agit d’assurer le troupeau par tête, les valeurs de consentement à payer qui se dégage</w:t>
      </w:r>
      <w:r w:rsidR="00071911">
        <w:t>nt</w:t>
      </w:r>
      <w:r w:rsidR="004C1F75">
        <w:t xml:space="preserve"> sont assez faible</w:t>
      </w:r>
      <w:r w:rsidR="00071911">
        <w:t>s</w:t>
      </w:r>
      <w:r w:rsidR="004C1F75">
        <w:t xml:space="preserve"> et tourne</w:t>
      </w:r>
      <w:r w:rsidR="00D27774">
        <w:t>nt</w:t>
      </w:r>
      <w:r w:rsidR="004C1F75">
        <w:t xml:space="preserve"> entre </w:t>
      </w:r>
      <w:r w:rsidR="007F1493">
        <w:t xml:space="preserve">500 et 3000 pour les bovins, et 0 et 500 pour les petits ruminants. </w:t>
      </w:r>
      <w:r w:rsidR="005D6E37">
        <w:t xml:space="preserve">Pour une assurance qui couvre tout le troupeau (sans précision sur la taille du troupeau), la plupart des éleveurs sont prêts à payer 10 000 FCFA ou plus pour les bovins et entre 500 et 5000 pour les petits ruminants. </w:t>
      </w:r>
      <w:r w:rsidR="007F1493">
        <w:t>Par contre, lorsqu’il s’agit d’assurer une valeur de 100 000 FCFA du troupeau, il y a une légère harmonisation logi</w:t>
      </w:r>
      <w:r w:rsidR="00D27774">
        <w:t>que des montants de disposition</w:t>
      </w:r>
      <w:r w:rsidR="007F1493">
        <w:t xml:space="preserve"> à payer déclarés par les éleveurs. Ils sont pour la plupart prêt à payer autour de 3 000 FCFA pour chaque valeur de 100 000 FCFA de bovins</w:t>
      </w:r>
      <w:r w:rsidR="00D27774">
        <w:t>,</w:t>
      </w:r>
      <w:r w:rsidR="007F1493">
        <w:t xml:space="preserve"> ovins ou caprins à assurer contre le retard des pluies, le déficit pluviométrique ou le vol du bétail. </w:t>
      </w:r>
      <w:r w:rsidR="005D6E37">
        <w:t xml:space="preserve">Sur la base de ces constats, nous pensons qu’il serait plus judicieux de proposer aux éleveurs un produit d’assurance indicielle bétail qui </w:t>
      </w:r>
      <w:r w:rsidR="00D27774">
        <w:t>couvre</w:t>
      </w:r>
      <w:r w:rsidR="005D6E37">
        <w:t xml:space="preserve"> chaque valeur de 100 000 FCFA du troupeau contre les risques</w:t>
      </w:r>
      <w:r w:rsidR="00D27774">
        <w:t xml:space="preserve"> liés au déficit pluviométrique</w:t>
      </w:r>
      <w:r w:rsidR="005D6E37">
        <w:t xml:space="preserve">. Un tel produit pourrait à termes être proposé avec les crédits octroyés aux éleveurs pour renforcer </w:t>
      </w:r>
      <w:r w:rsidR="003301CD">
        <w:t>leur inclusion financière</w:t>
      </w:r>
      <w:r w:rsidR="005D6E37">
        <w:t xml:space="preserve"> et servir de gage de sécurité aux institutions de crédit afin qu’ils augmentent le volume des fonds qu’il</w:t>
      </w:r>
      <w:r w:rsidR="00D27774">
        <w:t>s</w:t>
      </w:r>
      <w:r w:rsidR="005D6E37">
        <w:t xml:space="preserve"> dédie</w:t>
      </w:r>
      <w:r w:rsidR="00D27774">
        <w:t>nt</w:t>
      </w:r>
      <w:r w:rsidR="005D6E37">
        <w:t xml:space="preserve"> à l’élevage pastoral. </w:t>
      </w:r>
    </w:p>
    <w:bookmarkStart w:id="124" w:name="_Toc17840351" w:displacedByCustomXml="next"/>
    <w:sdt>
      <w:sdtPr>
        <w:rPr>
          <w:rFonts w:asciiTheme="minorHAnsi" w:eastAsiaTheme="minorHAnsi" w:hAnsiTheme="minorHAnsi" w:cstheme="minorBidi"/>
          <w:color w:val="auto"/>
          <w:sz w:val="22"/>
          <w:szCs w:val="22"/>
        </w:rPr>
        <w:id w:val="-248200016"/>
        <w:docPartObj>
          <w:docPartGallery w:val="Bibliographies"/>
          <w:docPartUnique/>
        </w:docPartObj>
      </w:sdtPr>
      <w:sdtEndPr/>
      <w:sdtContent>
        <w:p w14:paraId="35B2AE8B" w14:textId="29DF5A5F" w:rsidR="00B21741" w:rsidRDefault="00B21741" w:rsidP="0056146E">
          <w:pPr>
            <w:pStyle w:val="Titre1"/>
            <w:numPr>
              <w:ilvl w:val="0"/>
              <w:numId w:val="1"/>
            </w:numPr>
          </w:pPr>
          <w:r>
            <w:t>Bibliographie</w:t>
          </w:r>
          <w:bookmarkEnd w:id="124"/>
        </w:p>
        <w:sdt>
          <w:sdtPr>
            <w:id w:val="111145805"/>
            <w:bibliography/>
          </w:sdtPr>
          <w:sdtEndPr/>
          <w:sdtContent>
            <w:p w14:paraId="691DF078" w14:textId="77777777" w:rsidR="004131F6" w:rsidRPr="004131F6" w:rsidRDefault="00B21741" w:rsidP="004131F6">
              <w:pPr>
                <w:pStyle w:val="Bibliographie"/>
                <w:ind w:left="720" w:hanging="720"/>
                <w:rPr>
                  <w:noProof/>
                  <w:sz w:val="24"/>
                  <w:szCs w:val="24"/>
                  <w:lang w:val="en-US"/>
                </w:rPr>
              </w:pPr>
              <w:r>
                <w:fldChar w:fldCharType="begin"/>
              </w:r>
              <w:r>
                <w:instrText>BIBLIOGRAPHY</w:instrText>
              </w:r>
              <w:r>
                <w:fldChar w:fldCharType="separate"/>
              </w:r>
              <w:r w:rsidR="004131F6">
                <w:rPr>
                  <w:noProof/>
                </w:rPr>
                <w:t xml:space="preserve">ANSD. (Septembre 2015). </w:t>
              </w:r>
              <w:r w:rsidR="004131F6">
                <w:rPr>
                  <w:i/>
                  <w:iCs/>
                  <w:noProof/>
                </w:rPr>
                <w:t>Enquête à l'écoute du Sénégal 2014.</w:t>
              </w:r>
              <w:r w:rsidR="004131F6">
                <w:rPr>
                  <w:noProof/>
                </w:rPr>
                <w:t xml:space="preserve"> </w:t>
              </w:r>
              <w:r w:rsidR="004131F6" w:rsidRPr="004131F6">
                <w:rPr>
                  <w:noProof/>
                  <w:lang w:val="en-US"/>
                </w:rPr>
                <w:t>Dakar, Sénégal: Rapport préliminaire.</w:t>
              </w:r>
            </w:p>
            <w:p w14:paraId="3C9F18D7" w14:textId="77777777" w:rsidR="004131F6" w:rsidRPr="004131F6" w:rsidRDefault="004131F6" w:rsidP="004131F6">
              <w:pPr>
                <w:pStyle w:val="Bibliographie"/>
                <w:ind w:left="720" w:hanging="720"/>
                <w:rPr>
                  <w:noProof/>
                  <w:lang w:val="en-US"/>
                </w:rPr>
              </w:pPr>
              <w:r w:rsidRPr="004131F6">
                <w:rPr>
                  <w:noProof/>
                  <w:lang w:val="en-US"/>
                </w:rPr>
                <w:lastRenderedPageBreak/>
                <w:t xml:space="preserve">Bollig, M. a. (1997). Risks, Uncertainty and Pastoralism: an introduction. </w:t>
              </w:r>
              <w:r w:rsidRPr="004131F6">
                <w:rPr>
                  <w:i/>
                  <w:iCs/>
                  <w:noProof/>
                  <w:lang w:val="en-US"/>
                </w:rPr>
                <w:t>Nomadic Peoples, New Series, 1</w:t>
              </w:r>
              <w:r w:rsidRPr="004131F6">
                <w:rPr>
                  <w:noProof/>
                  <w:lang w:val="en-US"/>
                </w:rPr>
                <w:t>(1), 5-21.</w:t>
              </w:r>
            </w:p>
            <w:p w14:paraId="3E88C380" w14:textId="77777777" w:rsidR="004131F6" w:rsidRPr="004131F6" w:rsidRDefault="004131F6" w:rsidP="004131F6">
              <w:pPr>
                <w:pStyle w:val="Bibliographie"/>
                <w:ind w:left="720" w:hanging="720"/>
                <w:rPr>
                  <w:noProof/>
                  <w:lang w:val="en-US"/>
                </w:rPr>
              </w:pPr>
              <w:r w:rsidRPr="004131F6">
                <w:rPr>
                  <w:noProof/>
                  <w:lang w:val="en-US"/>
                </w:rPr>
                <w:t xml:space="preserve">Clarke, D. (2016). A theory of rational demand for index insurance. </w:t>
              </w:r>
              <w:r w:rsidRPr="004131F6">
                <w:rPr>
                  <w:i/>
                  <w:iCs/>
                  <w:noProof/>
                  <w:lang w:val="en-US"/>
                </w:rPr>
                <w:t>American economic associaiton: microeconomics, 8</w:t>
              </w:r>
              <w:r w:rsidRPr="004131F6">
                <w:rPr>
                  <w:noProof/>
                  <w:lang w:val="en-US"/>
                </w:rPr>
                <w:t>(1), 283-306.</w:t>
              </w:r>
            </w:p>
            <w:p w14:paraId="1FC0E5B6" w14:textId="77777777" w:rsidR="004131F6" w:rsidRPr="004131F6" w:rsidRDefault="004131F6" w:rsidP="004131F6">
              <w:pPr>
                <w:pStyle w:val="Bibliographie"/>
                <w:ind w:left="720" w:hanging="720"/>
                <w:rPr>
                  <w:noProof/>
                  <w:lang w:val="en-US"/>
                </w:rPr>
              </w:pPr>
              <w:r w:rsidRPr="004131F6">
                <w:rPr>
                  <w:noProof/>
                  <w:lang w:val="en-US"/>
                </w:rPr>
                <w:t xml:space="preserve">Dafinger, A., &amp; Pelican, M. (2002). Land Rights and the Politics of Integration: Pastoralists' strategies in a comparative view. (H. M. Institute, Éd.) </w:t>
              </w:r>
              <w:r w:rsidRPr="004131F6">
                <w:rPr>
                  <w:i/>
                  <w:iCs/>
                  <w:noProof/>
                  <w:lang w:val="en-US"/>
                </w:rPr>
                <w:t>Max Planck Institute for Social Anthropology</w:t>
              </w:r>
              <w:r w:rsidRPr="004131F6">
                <w:rPr>
                  <w:noProof/>
                  <w:lang w:val="en-US"/>
                </w:rPr>
                <w:t>(48).</w:t>
              </w:r>
            </w:p>
            <w:p w14:paraId="46393349" w14:textId="77777777" w:rsidR="004131F6" w:rsidRDefault="004131F6" w:rsidP="004131F6">
              <w:pPr>
                <w:pStyle w:val="Bibliographie"/>
                <w:ind w:left="720" w:hanging="720"/>
                <w:rPr>
                  <w:noProof/>
                </w:rPr>
              </w:pPr>
              <w:r>
                <w:rPr>
                  <w:noProof/>
                </w:rPr>
                <w:t xml:space="preserve">Fall, K. (2017, 11 7). </w:t>
              </w:r>
              <w:r>
                <w:rPr>
                  <w:i/>
                  <w:iCs/>
                  <w:noProof/>
                </w:rPr>
                <w:t>Le sous secteur de l'élevage.</w:t>
              </w:r>
              <w:r>
                <w:rPr>
                  <w:noProof/>
                </w:rPr>
                <w:t xml:space="preserve"> Récupéré sur www.p2rs.sn: http://www.p2rs.sn/content/le-sous-secteur-de-l%E2%80%99%C3%A9levage</w:t>
              </w:r>
            </w:p>
            <w:p w14:paraId="1B714BE4" w14:textId="77777777" w:rsidR="004131F6" w:rsidRPr="004131F6" w:rsidRDefault="004131F6" w:rsidP="004131F6">
              <w:pPr>
                <w:pStyle w:val="Bibliographie"/>
                <w:ind w:left="720" w:hanging="720"/>
                <w:rPr>
                  <w:noProof/>
                  <w:lang w:val="en-US"/>
                </w:rPr>
              </w:pPr>
              <w:r>
                <w:rPr>
                  <w:noProof/>
                </w:rPr>
                <w:t xml:space="preserve">Milanesi, J. (2011). Une histoire de la méthode d'évaluation contingente. </w:t>
              </w:r>
              <w:r w:rsidRPr="004131F6">
                <w:rPr>
                  <w:i/>
                  <w:iCs/>
                  <w:noProof/>
                  <w:lang w:val="en-US"/>
                </w:rPr>
                <w:t>Genèses</w:t>
              </w:r>
              <w:r w:rsidRPr="004131F6">
                <w:rPr>
                  <w:noProof/>
                  <w:lang w:val="en-US"/>
                </w:rPr>
                <w:t>(3), 6-24.</w:t>
              </w:r>
            </w:p>
            <w:p w14:paraId="64793188" w14:textId="77777777" w:rsidR="004131F6" w:rsidRPr="004131F6" w:rsidRDefault="004131F6" w:rsidP="004131F6">
              <w:pPr>
                <w:pStyle w:val="Bibliographie"/>
                <w:ind w:left="720" w:hanging="720"/>
                <w:rPr>
                  <w:noProof/>
                  <w:lang w:val="en-US"/>
                </w:rPr>
              </w:pPr>
              <w:r w:rsidRPr="004131F6">
                <w:rPr>
                  <w:noProof/>
                  <w:lang w:val="en-US"/>
                </w:rPr>
                <w:t xml:space="preserve">Morduch, J. (1995). Income smoothing and consumption smoothing. </w:t>
              </w:r>
              <w:r w:rsidRPr="004131F6">
                <w:rPr>
                  <w:i/>
                  <w:iCs/>
                  <w:noProof/>
                  <w:lang w:val="en-US"/>
                </w:rPr>
                <w:t>The Journal of Economic Perspectives, 9</w:t>
              </w:r>
              <w:r w:rsidRPr="004131F6">
                <w:rPr>
                  <w:noProof/>
                  <w:lang w:val="en-US"/>
                </w:rPr>
                <w:t>(3), 103-114.</w:t>
              </w:r>
            </w:p>
            <w:p w14:paraId="186E2818" w14:textId="77777777" w:rsidR="004131F6" w:rsidRPr="004131F6" w:rsidRDefault="004131F6" w:rsidP="004131F6">
              <w:pPr>
                <w:pStyle w:val="Bibliographie"/>
                <w:ind w:left="720" w:hanging="720"/>
                <w:rPr>
                  <w:noProof/>
                  <w:lang w:val="en-US"/>
                </w:rPr>
              </w:pPr>
              <w:r w:rsidRPr="004131F6">
                <w:rPr>
                  <w:noProof/>
                  <w:lang w:val="en-US"/>
                </w:rPr>
                <w:t xml:space="preserve">Opiyo, F. E., Mureithi, S. M., &amp; Ngugi, R. K. (2011). The Influence of Water Availability on Pastoralist’s Resource Use in Mwingi and Kitui Districts in Kenya. </w:t>
              </w:r>
              <w:r w:rsidRPr="004131F6">
                <w:rPr>
                  <w:i/>
                  <w:iCs/>
                  <w:noProof/>
                  <w:lang w:val="en-US"/>
                </w:rPr>
                <w:t>Journal of Human Ecology, 35</w:t>
              </w:r>
              <w:r w:rsidRPr="004131F6">
                <w:rPr>
                  <w:noProof/>
                  <w:lang w:val="en-US"/>
                </w:rPr>
                <w:t>(1).</w:t>
              </w:r>
            </w:p>
            <w:p w14:paraId="5504D398" w14:textId="77777777" w:rsidR="004131F6" w:rsidRPr="004131F6" w:rsidRDefault="004131F6" w:rsidP="004131F6">
              <w:pPr>
                <w:pStyle w:val="Bibliographie"/>
                <w:ind w:left="720" w:hanging="720"/>
                <w:rPr>
                  <w:noProof/>
                  <w:lang w:val="en-US"/>
                </w:rPr>
              </w:pPr>
              <w:r w:rsidRPr="004131F6">
                <w:rPr>
                  <w:noProof/>
                  <w:lang w:val="en-US"/>
                </w:rPr>
                <w:t xml:space="preserve">PARM. (2017). </w:t>
              </w:r>
              <w:r w:rsidRPr="004131F6">
                <w:rPr>
                  <w:i/>
                  <w:iCs/>
                  <w:noProof/>
                  <w:lang w:val="en-US"/>
                </w:rPr>
                <w:t>Managing risks at the farm level-Manual (by I Tedesco).</w:t>
              </w:r>
              <w:r w:rsidRPr="004131F6">
                <w:rPr>
                  <w:noProof/>
                  <w:lang w:val="en-US"/>
                </w:rPr>
                <w:t xml:space="preserve"> Rome, Italy: PARM/IFAD.</w:t>
              </w:r>
            </w:p>
            <w:p w14:paraId="353654DF" w14:textId="77777777" w:rsidR="004131F6" w:rsidRPr="004131F6" w:rsidRDefault="004131F6" w:rsidP="004131F6">
              <w:pPr>
                <w:pStyle w:val="Bibliographie"/>
                <w:ind w:left="720" w:hanging="720"/>
                <w:rPr>
                  <w:noProof/>
                  <w:lang w:val="en-US"/>
                </w:rPr>
              </w:pPr>
              <w:r w:rsidRPr="004131F6">
                <w:rPr>
                  <w:noProof/>
                  <w:lang w:val="en-US"/>
                </w:rPr>
                <w:t xml:space="preserve">Shettima, A. G., &amp; Tar, A. U. (2008, June). Farmer-Pastoralists Conflicsts in West Africa: explauring the causes and consequences. </w:t>
              </w:r>
              <w:r w:rsidRPr="004131F6">
                <w:rPr>
                  <w:i/>
                  <w:iCs/>
                  <w:noProof/>
                  <w:lang w:val="en-US"/>
                </w:rPr>
                <w:t>Information, Society and Justice, 1</w:t>
              </w:r>
              <w:r w:rsidRPr="004131F6">
                <w:rPr>
                  <w:noProof/>
                  <w:lang w:val="en-US"/>
                </w:rPr>
                <w:t>(2), 163-184.</w:t>
              </w:r>
            </w:p>
            <w:p w14:paraId="0062C303" w14:textId="77777777" w:rsidR="004131F6" w:rsidRPr="004131F6" w:rsidRDefault="004131F6" w:rsidP="004131F6">
              <w:pPr>
                <w:pStyle w:val="Bibliographie"/>
                <w:ind w:left="720" w:hanging="720"/>
                <w:rPr>
                  <w:noProof/>
                  <w:lang w:val="en-US"/>
                </w:rPr>
              </w:pPr>
              <w:r w:rsidRPr="004131F6">
                <w:rPr>
                  <w:noProof/>
                  <w:lang w:val="en-US"/>
                </w:rPr>
                <w:t xml:space="preserve">Swallow, B. (1993). The Role of Mobility with the Risk Management Strategies of Pastoralists and Agro-Pastoralists. </w:t>
              </w:r>
              <w:r w:rsidRPr="004131F6">
                <w:rPr>
                  <w:i/>
                  <w:iCs/>
                  <w:noProof/>
                  <w:lang w:val="en-US"/>
                </w:rPr>
                <w:t>International Institute for Environnement and Development, GATEKEEPER SERIES</w:t>
              </w:r>
              <w:r w:rsidRPr="004131F6">
                <w:rPr>
                  <w:noProof/>
                  <w:lang w:val="en-US"/>
                </w:rPr>
                <w:t>(47).</w:t>
              </w:r>
            </w:p>
            <w:p w14:paraId="67DFEEF4" w14:textId="77777777" w:rsidR="004131F6" w:rsidRDefault="004131F6" w:rsidP="004131F6">
              <w:pPr>
                <w:pStyle w:val="Bibliographie"/>
                <w:ind w:left="720" w:hanging="720"/>
                <w:rPr>
                  <w:noProof/>
                </w:rPr>
              </w:pPr>
              <w:r w:rsidRPr="004131F6">
                <w:rPr>
                  <w:noProof/>
                  <w:lang w:val="en-US"/>
                </w:rPr>
                <w:t xml:space="preserve">Syll, M. M., &amp; Weingärtner, L. (2017). </w:t>
              </w:r>
              <w:r>
                <w:rPr>
                  <w:noProof/>
                </w:rPr>
                <w:t xml:space="preserve">Disposition à payer pour l'assurance agricole basée sur les indices climatiques au Sénégal. </w:t>
              </w:r>
              <w:r>
                <w:rPr>
                  <w:i/>
                  <w:iCs/>
                  <w:noProof/>
                </w:rPr>
                <w:t>Revue Française d'Economie, 32</w:t>
              </w:r>
              <w:r>
                <w:rPr>
                  <w:noProof/>
                </w:rPr>
                <w:t>(3), 18-45.</w:t>
              </w:r>
            </w:p>
            <w:p w14:paraId="14DEEE92" w14:textId="77777777" w:rsidR="004131F6" w:rsidRDefault="004131F6" w:rsidP="004131F6">
              <w:pPr>
                <w:pStyle w:val="Bibliographie"/>
                <w:ind w:left="720" w:hanging="720"/>
                <w:rPr>
                  <w:noProof/>
                </w:rPr>
              </w:pPr>
              <w:r>
                <w:rPr>
                  <w:noProof/>
                </w:rPr>
                <w:t xml:space="preserve">Toutain, B. (2001). Le risque en pastoralisme : quelques considérations pour orienter les actions de développement. (E. S. E. Tielkes, Éd.) </w:t>
              </w:r>
              <w:r>
                <w:rPr>
                  <w:i/>
                  <w:iCs/>
                  <w:noProof/>
                </w:rPr>
                <w:t>Elevage et gestion de parcours au Sahel, implications pour le développement</w:t>
              </w:r>
              <w:r>
                <w:rPr>
                  <w:noProof/>
                </w:rPr>
                <w:t>.</w:t>
              </w:r>
            </w:p>
            <w:p w14:paraId="4773166E" w14:textId="77777777" w:rsidR="004131F6" w:rsidRDefault="004131F6" w:rsidP="004131F6">
              <w:pPr>
                <w:pStyle w:val="Bibliographie"/>
                <w:ind w:left="720" w:hanging="720"/>
                <w:rPr>
                  <w:noProof/>
                </w:rPr>
              </w:pPr>
              <w:r w:rsidRPr="004131F6">
                <w:rPr>
                  <w:noProof/>
                  <w:lang w:val="en-US"/>
                </w:rPr>
                <w:t xml:space="preserve">Turner, M. D., McPeack, J. G., &amp; Ayantunde, A. (2014). The Role of Livestock Mobility in the Livelihood Strategies in Rural Peoples in Semi-Arid West Africa. </w:t>
              </w:r>
              <w:r>
                <w:rPr>
                  <w:i/>
                  <w:iCs/>
                  <w:noProof/>
                </w:rPr>
                <w:t>Human Ecology</w:t>
              </w:r>
              <w:r>
                <w:rPr>
                  <w:noProof/>
                </w:rPr>
                <w:t>.</w:t>
              </w:r>
            </w:p>
            <w:p w14:paraId="22DEE17D" w14:textId="3FD001BC" w:rsidR="00B21741" w:rsidRDefault="00B21741" w:rsidP="004131F6">
              <w:r>
                <w:rPr>
                  <w:b/>
                  <w:bCs/>
                </w:rPr>
                <w:fldChar w:fldCharType="end"/>
              </w:r>
            </w:p>
          </w:sdtContent>
        </w:sdt>
      </w:sdtContent>
    </w:sdt>
    <w:p w14:paraId="39520C58" w14:textId="5171C500" w:rsidR="00B21741" w:rsidRDefault="00B21741" w:rsidP="00287FAF">
      <w:pPr>
        <w:sectPr w:rsidR="00B21741">
          <w:headerReference w:type="default" r:id="rId64"/>
          <w:pgSz w:w="11906" w:h="16838"/>
          <w:pgMar w:top="1417" w:right="1417" w:bottom="1417" w:left="1417" w:header="708" w:footer="708" w:gutter="0"/>
          <w:cols w:space="708"/>
          <w:docGrid w:linePitch="360"/>
        </w:sectPr>
      </w:pPr>
    </w:p>
    <w:p w14:paraId="5B4CD516" w14:textId="31B64A6D" w:rsidR="00B21741" w:rsidRDefault="00B21741" w:rsidP="00287FAF"/>
    <w:p w14:paraId="41FDB7E1" w14:textId="6FCE63FD" w:rsidR="00222AE5" w:rsidRDefault="00222AE5" w:rsidP="0056146E">
      <w:pPr>
        <w:pStyle w:val="Titre1"/>
        <w:numPr>
          <w:ilvl w:val="0"/>
          <w:numId w:val="1"/>
        </w:numPr>
      </w:pPr>
      <w:bookmarkStart w:id="125" w:name="_Toc17840352"/>
      <w:r>
        <w:t>Annexes</w:t>
      </w:r>
      <w:bookmarkEnd w:id="125"/>
    </w:p>
    <w:p w14:paraId="3D841C17" w14:textId="48492BDA" w:rsidR="005F1702" w:rsidRPr="00E513FA" w:rsidRDefault="005F1702" w:rsidP="0056146E">
      <w:pPr>
        <w:pStyle w:val="Titre2"/>
        <w:numPr>
          <w:ilvl w:val="0"/>
          <w:numId w:val="16"/>
        </w:numPr>
        <w:rPr>
          <w:rFonts w:eastAsia="Calibri"/>
        </w:rPr>
      </w:pPr>
      <w:bookmarkStart w:id="126" w:name="_Toc17840353"/>
      <w:r w:rsidRPr="00E513FA">
        <w:rPr>
          <w:rFonts w:eastAsia="Calibri"/>
        </w:rPr>
        <w:t>Taille de l’échantillon</w:t>
      </w:r>
      <w:bookmarkEnd w:id="126"/>
    </w:p>
    <w:p w14:paraId="10366C22" w14:textId="77777777" w:rsidR="005F1702" w:rsidRPr="00E513FA" w:rsidRDefault="005F1702" w:rsidP="005F1702">
      <w:pPr>
        <w:jc w:val="both"/>
      </w:pPr>
      <w:r w:rsidRPr="00E513FA">
        <w:t>De façon générale, pour un sondage la taille minimale se détermine avec la formule ci-dessous :</w:t>
      </w:r>
    </w:p>
    <w:p w14:paraId="12DF1CA9" w14:textId="77777777" w:rsidR="005F1702" w:rsidRPr="00E513FA" w:rsidRDefault="008339A9" w:rsidP="005F1702">
      <m:oMathPara>
        <m:oMath>
          <m:sSub>
            <m:sSubPr>
              <m:ctrlPr>
                <w:rPr>
                  <w:rFonts w:ascii="Cambria Math" w:hAnsi="Cambria Math"/>
                  <w:i/>
                </w:rPr>
              </m:ctrlPr>
            </m:sSubPr>
            <m:e>
              <m:r>
                <w:rPr>
                  <w:rFonts w:ascii="Cambria Math" w:hAnsi="Cambria Math"/>
                </w:rPr>
                <m:t>n</m:t>
              </m:r>
            </m:e>
            <m:sub>
              <m:r>
                <w:rPr>
                  <w:rFonts w:ascii="Cambria Math" w:hAnsi="Cambria Math"/>
                </w:rPr>
                <m:t>1</m:t>
              </m:r>
            </m:sub>
          </m:sSub>
          <m:r>
            <m:rPr>
              <m:sty m:val="p"/>
            </m:rPr>
            <w:rPr>
              <w:rFonts w:ascii="Cambria Math" w:hAnsi="Cambria Math"/>
            </w:rPr>
            <m:t>=</m:t>
          </m:r>
          <m:f>
            <m:fPr>
              <m:ctrlPr>
                <w:rPr>
                  <w:rFonts w:ascii="Cambria Math" w:hAnsi="Cambria Math"/>
                </w:rPr>
              </m:ctrlPr>
            </m:fPr>
            <m:num>
              <m:r>
                <w:rPr>
                  <w:rFonts w:ascii="Cambria Math" w:hAnsi="Cambria Math"/>
                </w:rPr>
                <m:t>p</m:t>
              </m:r>
              <m:d>
                <m:dPr>
                  <m:ctrlPr>
                    <w:rPr>
                      <w:rFonts w:ascii="Cambria Math" w:hAnsi="Cambria Math"/>
                    </w:rPr>
                  </m:ctrlPr>
                </m:dPr>
                <m:e>
                  <m:r>
                    <m:rPr>
                      <m:sty m:val="p"/>
                    </m:rPr>
                    <w:rPr>
                      <w:rFonts w:ascii="Cambria Math" w:hAnsi="Cambria Math"/>
                    </w:rPr>
                    <m:t>1-</m:t>
                  </m:r>
                  <m:r>
                    <w:rPr>
                      <w:rFonts w:ascii="Cambria Math" w:hAnsi="Cambria Math"/>
                    </w:rPr>
                    <m:t>p</m:t>
                  </m:r>
                </m:e>
              </m:d>
              <m:sSup>
                <m:sSupPr>
                  <m:ctrlPr>
                    <w:rPr>
                      <w:rFonts w:ascii="Cambria Math" w:hAnsi="Cambria Math"/>
                    </w:rPr>
                  </m:ctrlPr>
                </m:sSupPr>
                <m:e>
                  <m:r>
                    <w:rPr>
                      <w:rFonts w:ascii="Cambria Math" w:hAnsi="Cambria Math"/>
                    </w:rPr>
                    <m:t>x</m:t>
                  </m:r>
                </m:e>
                <m:sup>
                  <m:r>
                    <m:rPr>
                      <m:sty m:val="p"/>
                    </m:rPr>
                    <w:rPr>
                      <w:rFonts w:ascii="Cambria Math" w:hAnsi="Cambria Math"/>
                    </w:rPr>
                    <m:t>2</m:t>
                  </m:r>
                </m:sup>
              </m:sSup>
            </m:num>
            <m:den>
              <m:sSup>
                <m:sSupPr>
                  <m:ctrlPr>
                    <w:rPr>
                      <w:rFonts w:ascii="Cambria Math" w:hAnsi="Cambria Math"/>
                    </w:rPr>
                  </m:ctrlPr>
                </m:sSupPr>
                <m:e>
                  <m:r>
                    <w:rPr>
                      <w:rFonts w:ascii="Cambria Math" w:hAnsi="Cambria Math"/>
                    </w:rPr>
                    <m:t>e</m:t>
                  </m:r>
                </m:e>
                <m:sup>
                  <m:r>
                    <m:rPr>
                      <m:sty m:val="p"/>
                    </m:rPr>
                    <w:rPr>
                      <w:rFonts w:ascii="Cambria Math" w:hAnsi="Cambria Math"/>
                    </w:rPr>
                    <m:t>2</m:t>
                  </m:r>
                </m:sup>
              </m:sSup>
            </m:den>
          </m:f>
        </m:oMath>
      </m:oMathPara>
    </w:p>
    <w:p w14:paraId="145B3DBD" w14:textId="77777777" w:rsidR="005F1702" w:rsidRPr="00E513FA" w:rsidRDefault="005F1702" w:rsidP="005F1702">
      <w:pPr>
        <w:jc w:val="both"/>
      </w:pPr>
      <w:r w:rsidRPr="00E513FA">
        <w:t>Où :</w:t>
      </w:r>
    </w:p>
    <w:p w14:paraId="0B5C33EF" w14:textId="77777777" w:rsidR="005F1702" w:rsidRPr="00E513FA" w:rsidRDefault="005F1702" w:rsidP="005F1702">
      <w:pPr>
        <w:jc w:val="both"/>
      </w:pPr>
      <w:r w:rsidRPr="00E513FA">
        <w:t>p : est la proportion d</w:t>
      </w:r>
      <w:r>
        <w:t xml:space="preserve">’éleveurs </w:t>
      </w:r>
      <w:r w:rsidRPr="00E513FA">
        <w:t>par rapport à un caractère donné lors d'une étude antérieure. Mais en pratique on prend souvent p=0,5 car cette valeur permet d'obtenir la taille maximale.</w:t>
      </w:r>
    </w:p>
    <w:p w14:paraId="6B411B1C" w14:textId="77777777" w:rsidR="005F1702" w:rsidRPr="00E513FA" w:rsidRDefault="005F1702" w:rsidP="005F1702">
      <w:pPr>
        <w:jc w:val="both"/>
      </w:pPr>
      <m:oMath>
        <m:r>
          <w:rPr>
            <w:rFonts w:ascii="Cambria Math" w:hAnsi="Cambria Math"/>
          </w:rPr>
          <m:t>x</m:t>
        </m:r>
      </m:oMath>
      <w:r w:rsidRPr="00E513FA">
        <w:t xml:space="preserve"> : correspond au niveau de confiance (pris égal à 1,96 à un seuil de 5%) ;</w:t>
      </w:r>
    </w:p>
    <w:p w14:paraId="3BB9DF5B" w14:textId="77777777" w:rsidR="005F1702" w:rsidRPr="00E513FA" w:rsidRDefault="005F1702" w:rsidP="005F1702">
      <w:pPr>
        <w:jc w:val="both"/>
      </w:pPr>
      <m:oMath>
        <m:r>
          <w:rPr>
            <w:rFonts w:ascii="Cambria Math" w:hAnsi="Cambria Math"/>
          </w:rPr>
          <m:t xml:space="preserve">e </m:t>
        </m:r>
      </m:oMath>
      <w:r w:rsidRPr="00E513FA">
        <w:t xml:space="preserve">: est le niveau de précision des résultats. Pour atteindre les objectifs de cette étude, nous fixons une précision de </w:t>
      </w:r>
      <w:r>
        <w:t>6</w:t>
      </w:r>
      <w:r w:rsidRPr="00E513FA">
        <w:t>%.</w:t>
      </w:r>
    </w:p>
    <w:p w14:paraId="64BA8C55" w14:textId="77777777" w:rsidR="005F1702" w:rsidRPr="00E513FA" w:rsidRDefault="005F1702" w:rsidP="005F1702">
      <w:pPr>
        <w:jc w:val="both"/>
      </w:pPr>
      <w:r w:rsidRPr="00E513FA">
        <w:t>Cette taille (n1) devrait être ajustée en fonction de la taille de la population (</w:t>
      </w:r>
      <m:oMath>
        <m:r>
          <w:rPr>
            <w:rFonts w:ascii="Cambria Math" w:hAnsi="Cambria Math"/>
          </w:rPr>
          <m:t>N</m:t>
        </m:r>
      </m:oMath>
      <w:r w:rsidRPr="00E513FA">
        <w:t>). Cela n’aura des répercussions seulement que pour les populations de petite taille ou de taille moyenne. La formule est donnée par l’équation suivante :</w:t>
      </w:r>
    </w:p>
    <w:p w14:paraId="63A696C2" w14:textId="77777777" w:rsidR="005F1702" w:rsidRPr="00E513FA" w:rsidRDefault="008339A9" w:rsidP="005F1702">
      <m:oMathPara>
        <m:oMath>
          <m:sSub>
            <m:sSubPr>
              <m:ctrlPr>
                <w:rPr>
                  <w:rFonts w:ascii="Cambria Math" w:hAnsi="Cambria Math"/>
                  <w:i/>
                </w:rPr>
              </m:ctrlPr>
            </m:sSubPr>
            <m:e>
              <m:r>
                <w:rPr>
                  <w:rFonts w:ascii="Cambria Math" w:hAnsi="Cambria Math"/>
                </w:rPr>
                <m:t>n</m:t>
              </m:r>
            </m:e>
            <m:sub>
              <m: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1</m:t>
              </m:r>
            </m:sub>
          </m:sSub>
          <m:f>
            <m:fPr>
              <m:ctrlPr>
                <w:rPr>
                  <w:rFonts w:ascii="Cambria Math" w:hAnsi="Cambria Math"/>
                  <w:i/>
                </w:rPr>
              </m:ctrlPr>
            </m:fPr>
            <m:num>
              <m:r>
                <w:rPr>
                  <w:rFonts w:ascii="Cambria Math" w:hAnsi="Cambria Math"/>
                </w:rPr>
                <m:t>N</m:t>
              </m:r>
            </m:num>
            <m:den>
              <m:r>
                <w:rPr>
                  <w:rFonts w:ascii="Cambria Math" w:hAnsi="Cambria Math"/>
                </w:rPr>
                <m:t>N+</m:t>
              </m:r>
              <m:sSub>
                <m:sSubPr>
                  <m:ctrlPr>
                    <w:rPr>
                      <w:rFonts w:ascii="Cambria Math" w:hAnsi="Cambria Math"/>
                      <w:i/>
                    </w:rPr>
                  </m:ctrlPr>
                </m:sSubPr>
                <m:e>
                  <m:r>
                    <w:rPr>
                      <w:rFonts w:ascii="Cambria Math" w:hAnsi="Cambria Math"/>
                    </w:rPr>
                    <m:t>n</m:t>
                  </m:r>
                </m:e>
                <m:sub>
                  <m:r>
                    <w:rPr>
                      <w:rFonts w:ascii="Cambria Math" w:hAnsi="Cambria Math"/>
                    </w:rPr>
                    <m:t>1</m:t>
                  </m:r>
                </m:sub>
              </m:sSub>
            </m:den>
          </m:f>
        </m:oMath>
      </m:oMathPara>
    </w:p>
    <w:p w14:paraId="08F27050" w14:textId="77777777" w:rsidR="005F1702" w:rsidRDefault="005F1702" w:rsidP="005F1702">
      <w:pPr>
        <w:jc w:val="both"/>
      </w:pPr>
      <w:r w:rsidRPr="00E513FA">
        <w:t xml:space="preserve">Avec ces différents paramètres nous obtenons une taille minimale de </w:t>
      </w:r>
      <w:r>
        <w:t>277</w:t>
      </w:r>
      <w:r w:rsidRPr="00E513FA">
        <w:t xml:space="preserve"> </w:t>
      </w:r>
      <w:r>
        <w:t>éleveurs</w:t>
      </w:r>
      <w:r w:rsidRPr="00E513FA">
        <w:t xml:space="preserve"> à enquêter. Sur ce, afin d’effectuer une étude fiable, une taille de </w:t>
      </w:r>
      <w:r>
        <w:t>300</w:t>
      </w:r>
      <w:r w:rsidRPr="00E513FA">
        <w:t xml:space="preserve"> </w:t>
      </w:r>
      <w:r>
        <w:t>éleveurs</w:t>
      </w:r>
      <w:r w:rsidRPr="00E513FA">
        <w:t xml:space="preserve"> est retenue.</w:t>
      </w:r>
    </w:p>
    <w:p w14:paraId="57CB6CC0" w14:textId="380F1393" w:rsidR="005F1702" w:rsidRDefault="005F1702" w:rsidP="0056146E">
      <w:pPr>
        <w:pStyle w:val="Titre2"/>
        <w:numPr>
          <w:ilvl w:val="0"/>
          <w:numId w:val="16"/>
        </w:numPr>
      </w:pPr>
      <w:bookmarkStart w:id="127" w:name="_Toc17840354"/>
      <w:r>
        <w:t>Liste des communes et villages retenus pour les enquêtes :</w:t>
      </w:r>
      <w:bookmarkEnd w:id="127"/>
    </w:p>
    <w:p w14:paraId="3217EABA" w14:textId="526098AB" w:rsidR="005F1702" w:rsidRPr="008129B2" w:rsidRDefault="005F1702" w:rsidP="005F1702">
      <w:pPr>
        <w:pStyle w:val="Lgende"/>
        <w:keepNext/>
        <w:rPr>
          <w:sz w:val="22"/>
          <w:szCs w:val="22"/>
        </w:rPr>
      </w:pPr>
      <w:bookmarkStart w:id="128" w:name="_Toc17840242"/>
      <w:r w:rsidRPr="008129B2">
        <w:rPr>
          <w:sz w:val="22"/>
          <w:szCs w:val="22"/>
        </w:rPr>
        <w:t xml:space="preserve">Tableau </w:t>
      </w:r>
      <w:r w:rsidRPr="008129B2">
        <w:rPr>
          <w:sz w:val="22"/>
          <w:szCs w:val="22"/>
        </w:rPr>
        <w:fldChar w:fldCharType="begin"/>
      </w:r>
      <w:r w:rsidRPr="008129B2">
        <w:rPr>
          <w:sz w:val="22"/>
          <w:szCs w:val="22"/>
        </w:rPr>
        <w:instrText xml:space="preserve"> SEQ Tableau \* ARABIC </w:instrText>
      </w:r>
      <w:r w:rsidRPr="008129B2">
        <w:rPr>
          <w:sz w:val="22"/>
          <w:szCs w:val="22"/>
        </w:rPr>
        <w:fldChar w:fldCharType="separate"/>
      </w:r>
      <w:r w:rsidR="00870393">
        <w:rPr>
          <w:noProof/>
          <w:sz w:val="22"/>
          <w:szCs w:val="22"/>
        </w:rPr>
        <w:t>5</w:t>
      </w:r>
      <w:r w:rsidRPr="008129B2">
        <w:rPr>
          <w:sz w:val="22"/>
          <w:szCs w:val="22"/>
        </w:rPr>
        <w:fldChar w:fldCharType="end"/>
      </w:r>
      <w:r w:rsidRPr="008129B2">
        <w:rPr>
          <w:sz w:val="22"/>
          <w:szCs w:val="22"/>
        </w:rPr>
        <w:t>: Zones de collecte (communes, villages)</w:t>
      </w:r>
      <w:bookmarkEnd w:id="128"/>
    </w:p>
    <w:tbl>
      <w:tblPr>
        <w:tblStyle w:val="Grilledutableau"/>
        <w:tblW w:w="9911" w:type="dxa"/>
        <w:tblLayout w:type="fixed"/>
        <w:tblLook w:val="04A0" w:firstRow="1" w:lastRow="0" w:firstColumn="1" w:lastColumn="0" w:noHBand="0" w:noVBand="1"/>
      </w:tblPr>
      <w:tblGrid>
        <w:gridCol w:w="1606"/>
        <w:gridCol w:w="1751"/>
        <w:gridCol w:w="2494"/>
        <w:gridCol w:w="2508"/>
        <w:gridCol w:w="1552"/>
      </w:tblGrid>
      <w:tr w:rsidR="00B21741" w:rsidRPr="004A587B" w14:paraId="347BA649" w14:textId="77777777" w:rsidTr="00861EC1">
        <w:trPr>
          <w:trHeight w:val="600"/>
          <w:tblHeader/>
        </w:trPr>
        <w:tc>
          <w:tcPr>
            <w:tcW w:w="1606" w:type="dxa"/>
            <w:shd w:val="clear" w:color="auto" w:fill="E7E6E6" w:themeFill="background2"/>
            <w:hideMark/>
          </w:tcPr>
          <w:p w14:paraId="092AF45B" w14:textId="77777777" w:rsidR="00B21741" w:rsidRPr="004A587B" w:rsidRDefault="00B21741" w:rsidP="00861EC1">
            <w:pPr>
              <w:rPr>
                <w:b/>
                <w:bCs/>
              </w:rPr>
            </w:pPr>
            <w:r w:rsidRPr="004A587B">
              <w:rPr>
                <w:b/>
                <w:bCs/>
              </w:rPr>
              <w:t>DEPARTEMENT</w:t>
            </w:r>
          </w:p>
        </w:tc>
        <w:tc>
          <w:tcPr>
            <w:tcW w:w="1751" w:type="dxa"/>
            <w:shd w:val="clear" w:color="auto" w:fill="E7E6E6" w:themeFill="background2"/>
            <w:hideMark/>
          </w:tcPr>
          <w:p w14:paraId="4FECFAAF" w14:textId="77777777" w:rsidR="00B21741" w:rsidRPr="004A587B" w:rsidRDefault="00B21741" w:rsidP="00861EC1">
            <w:pPr>
              <w:rPr>
                <w:b/>
                <w:bCs/>
              </w:rPr>
            </w:pPr>
            <w:r w:rsidRPr="004A587B">
              <w:rPr>
                <w:b/>
                <w:bCs/>
              </w:rPr>
              <w:t>COMMUNE</w:t>
            </w:r>
          </w:p>
        </w:tc>
        <w:tc>
          <w:tcPr>
            <w:tcW w:w="2494" w:type="dxa"/>
            <w:shd w:val="clear" w:color="auto" w:fill="E7E6E6" w:themeFill="background2"/>
            <w:hideMark/>
          </w:tcPr>
          <w:p w14:paraId="5159EB2F" w14:textId="77777777" w:rsidR="00B21741" w:rsidRPr="004A587B" w:rsidRDefault="00B21741" w:rsidP="00861EC1">
            <w:pPr>
              <w:rPr>
                <w:b/>
                <w:bCs/>
              </w:rPr>
            </w:pPr>
            <w:r w:rsidRPr="004A587B">
              <w:rPr>
                <w:b/>
                <w:bCs/>
              </w:rPr>
              <w:t>Village (Echantillon maître)</w:t>
            </w:r>
          </w:p>
        </w:tc>
        <w:tc>
          <w:tcPr>
            <w:tcW w:w="2508" w:type="dxa"/>
            <w:shd w:val="clear" w:color="auto" w:fill="E7E6E6" w:themeFill="background2"/>
            <w:hideMark/>
          </w:tcPr>
          <w:p w14:paraId="01A03B3A" w14:textId="77777777" w:rsidR="00B21741" w:rsidRPr="004A587B" w:rsidRDefault="00B21741" w:rsidP="00861EC1">
            <w:pPr>
              <w:rPr>
                <w:b/>
                <w:bCs/>
              </w:rPr>
            </w:pPr>
            <w:r w:rsidRPr="004A587B">
              <w:rPr>
                <w:b/>
                <w:bCs/>
              </w:rPr>
              <w:t>Village (Echantillon de remplacement)</w:t>
            </w:r>
          </w:p>
        </w:tc>
        <w:tc>
          <w:tcPr>
            <w:tcW w:w="1552" w:type="dxa"/>
            <w:shd w:val="clear" w:color="auto" w:fill="E7E6E6" w:themeFill="background2"/>
            <w:hideMark/>
          </w:tcPr>
          <w:p w14:paraId="7B0CC8AE" w14:textId="77777777" w:rsidR="00B21741" w:rsidRPr="004A587B" w:rsidRDefault="00B21741" w:rsidP="00861EC1">
            <w:pPr>
              <w:rPr>
                <w:b/>
                <w:bCs/>
              </w:rPr>
            </w:pPr>
            <w:r w:rsidRPr="004A587B">
              <w:rPr>
                <w:b/>
                <w:bCs/>
              </w:rPr>
              <w:t>Ordre de remplacement</w:t>
            </w:r>
          </w:p>
        </w:tc>
      </w:tr>
      <w:tr w:rsidR="00B21741" w:rsidRPr="004A587B" w14:paraId="6B4F4C89" w14:textId="77777777" w:rsidTr="00861EC1">
        <w:trPr>
          <w:trHeight w:val="300"/>
        </w:trPr>
        <w:tc>
          <w:tcPr>
            <w:tcW w:w="1606" w:type="dxa"/>
            <w:vMerge w:val="restart"/>
            <w:noWrap/>
            <w:hideMark/>
          </w:tcPr>
          <w:p w14:paraId="06A71344" w14:textId="77777777" w:rsidR="00B21741" w:rsidRPr="004A587B" w:rsidRDefault="00B21741" w:rsidP="00861EC1">
            <w:r w:rsidRPr="004A587B">
              <w:t>DAGANA</w:t>
            </w:r>
          </w:p>
        </w:tc>
        <w:tc>
          <w:tcPr>
            <w:tcW w:w="1751" w:type="dxa"/>
            <w:vMerge w:val="restart"/>
            <w:noWrap/>
            <w:hideMark/>
          </w:tcPr>
          <w:p w14:paraId="529ADBE3" w14:textId="77777777" w:rsidR="00B21741" w:rsidRPr="004A587B" w:rsidRDefault="00B21741" w:rsidP="00861EC1">
            <w:r w:rsidRPr="004A587B">
              <w:t>DIAMA</w:t>
            </w:r>
          </w:p>
        </w:tc>
        <w:tc>
          <w:tcPr>
            <w:tcW w:w="2494" w:type="dxa"/>
            <w:noWrap/>
            <w:hideMark/>
          </w:tcPr>
          <w:p w14:paraId="19F2788C" w14:textId="77777777" w:rsidR="00B21741" w:rsidRPr="004A587B" w:rsidRDefault="00B21741" w:rsidP="00861EC1">
            <w:r w:rsidRPr="004A587B">
              <w:t>BISSETTE I</w:t>
            </w:r>
          </w:p>
        </w:tc>
        <w:tc>
          <w:tcPr>
            <w:tcW w:w="2508" w:type="dxa"/>
            <w:noWrap/>
            <w:hideMark/>
          </w:tcPr>
          <w:p w14:paraId="0607479D" w14:textId="77777777" w:rsidR="00B21741" w:rsidRPr="004A587B" w:rsidRDefault="00B21741" w:rsidP="00861EC1">
            <w:r w:rsidRPr="004A587B">
              <w:t>H3 YAYE FOUNDA</w:t>
            </w:r>
          </w:p>
        </w:tc>
        <w:tc>
          <w:tcPr>
            <w:tcW w:w="1552" w:type="dxa"/>
            <w:noWrap/>
            <w:hideMark/>
          </w:tcPr>
          <w:p w14:paraId="605300B7" w14:textId="77777777" w:rsidR="00B21741" w:rsidRPr="004A587B" w:rsidRDefault="00B21741" w:rsidP="00861EC1">
            <w:r w:rsidRPr="004A587B">
              <w:t>1</w:t>
            </w:r>
          </w:p>
        </w:tc>
      </w:tr>
      <w:tr w:rsidR="00B21741" w:rsidRPr="004A587B" w14:paraId="5EA8AA71" w14:textId="77777777" w:rsidTr="00861EC1">
        <w:trPr>
          <w:trHeight w:val="300"/>
        </w:trPr>
        <w:tc>
          <w:tcPr>
            <w:tcW w:w="1606" w:type="dxa"/>
            <w:vMerge/>
            <w:hideMark/>
          </w:tcPr>
          <w:p w14:paraId="5C381EBA" w14:textId="77777777" w:rsidR="00B21741" w:rsidRPr="004A587B" w:rsidRDefault="00B21741" w:rsidP="00861EC1"/>
        </w:tc>
        <w:tc>
          <w:tcPr>
            <w:tcW w:w="1751" w:type="dxa"/>
            <w:vMerge/>
            <w:hideMark/>
          </w:tcPr>
          <w:p w14:paraId="6FFFA241" w14:textId="77777777" w:rsidR="00B21741" w:rsidRPr="004A587B" w:rsidRDefault="00B21741" w:rsidP="00861EC1"/>
        </w:tc>
        <w:tc>
          <w:tcPr>
            <w:tcW w:w="2494" w:type="dxa"/>
            <w:noWrap/>
            <w:hideMark/>
          </w:tcPr>
          <w:p w14:paraId="3D008BE7" w14:textId="77777777" w:rsidR="00B21741" w:rsidRPr="004A587B" w:rsidRDefault="00B21741" w:rsidP="00861EC1">
            <w:r w:rsidRPr="004A587B">
              <w:t>EL BETHIA I</w:t>
            </w:r>
          </w:p>
        </w:tc>
        <w:tc>
          <w:tcPr>
            <w:tcW w:w="2508" w:type="dxa"/>
            <w:noWrap/>
            <w:hideMark/>
          </w:tcPr>
          <w:p w14:paraId="5903F329" w14:textId="77777777" w:rsidR="00B21741" w:rsidRPr="004A587B" w:rsidRDefault="00B21741" w:rsidP="00861EC1">
            <w:r w:rsidRPr="004A587B">
              <w:t>MBOUBENE PEULH</w:t>
            </w:r>
          </w:p>
        </w:tc>
        <w:tc>
          <w:tcPr>
            <w:tcW w:w="1552" w:type="dxa"/>
            <w:noWrap/>
            <w:hideMark/>
          </w:tcPr>
          <w:p w14:paraId="0794485C" w14:textId="77777777" w:rsidR="00B21741" w:rsidRPr="004A587B" w:rsidRDefault="00B21741" w:rsidP="00861EC1">
            <w:r w:rsidRPr="004A587B">
              <w:t>2</w:t>
            </w:r>
          </w:p>
        </w:tc>
      </w:tr>
      <w:tr w:rsidR="00B21741" w:rsidRPr="004A587B" w14:paraId="77C38E22" w14:textId="77777777" w:rsidTr="00861EC1">
        <w:trPr>
          <w:trHeight w:val="300"/>
        </w:trPr>
        <w:tc>
          <w:tcPr>
            <w:tcW w:w="1606" w:type="dxa"/>
            <w:vMerge/>
            <w:hideMark/>
          </w:tcPr>
          <w:p w14:paraId="079F93A9" w14:textId="77777777" w:rsidR="00B21741" w:rsidRPr="004A587B" w:rsidRDefault="00B21741" w:rsidP="00861EC1"/>
        </w:tc>
        <w:tc>
          <w:tcPr>
            <w:tcW w:w="1751" w:type="dxa"/>
            <w:vMerge/>
            <w:hideMark/>
          </w:tcPr>
          <w:p w14:paraId="0FF06F5F" w14:textId="77777777" w:rsidR="00B21741" w:rsidRPr="004A587B" w:rsidRDefault="00B21741" w:rsidP="00861EC1"/>
        </w:tc>
        <w:tc>
          <w:tcPr>
            <w:tcW w:w="2494" w:type="dxa"/>
            <w:noWrap/>
            <w:hideMark/>
          </w:tcPr>
          <w:p w14:paraId="15ED531A" w14:textId="77777777" w:rsidR="00B21741" w:rsidRPr="004A587B" w:rsidRDefault="00B21741" w:rsidP="00861EC1">
            <w:r w:rsidRPr="004A587B">
              <w:t>EL BETHIA II</w:t>
            </w:r>
          </w:p>
        </w:tc>
        <w:tc>
          <w:tcPr>
            <w:tcW w:w="2508" w:type="dxa"/>
            <w:noWrap/>
            <w:hideMark/>
          </w:tcPr>
          <w:p w14:paraId="4C99B9C7" w14:textId="77777777" w:rsidR="00B21741" w:rsidRPr="004A587B" w:rsidRDefault="00B21741" w:rsidP="00861EC1">
            <w:r w:rsidRPr="004A587B">
              <w:t>H5 GARRAGE SOCAS</w:t>
            </w:r>
          </w:p>
        </w:tc>
        <w:tc>
          <w:tcPr>
            <w:tcW w:w="1552" w:type="dxa"/>
            <w:noWrap/>
            <w:hideMark/>
          </w:tcPr>
          <w:p w14:paraId="4078DD03" w14:textId="77777777" w:rsidR="00B21741" w:rsidRPr="004A587B" w:rsidRDefault="00B21741" w:rsidP="00861EC1">
            <w:r w:rsidRPr="004A587B">
              <w:t>3</w:t>
            </w:r>
          </w:p>
        </w:tc>
      </w:tr>
      <w:tr w:rsidR="00B21741" w:rsidRPr="004A587B" w14:paraId="3DC47EF2" w14:textId="77777777" w:rsidTr="00861EC1">
        <w:trPr>
          <w:trHeight w:val="300"/>
        </w:trPr>
        <w:tc>
          <w:tcPr>
            <w:tcW w:w="1606" w:type="dxa"/>
            <w:vMerge/>
            <w:hideMark/>
          </w:tcPr>
          <w:p w14:paraId="2430AA96" w14:textId="77777777" w:rsidR="00B21741" w:rsidRPr="004A587B" w:rsidRDefault="00B21741" w:rsidP="00861EC1"/>
        </w:tc>
        <w:tc>
          <w:tcPr>
            <w:tcW w:w="1751" w:type="dxa"/>
            <w:vMerge/>
            <w:hideMark/>
          </w:tcPr>
          <w:p w14:paraId="7A0CF642" w14:textId="77777777" w:rsidR="00B21741" w:rsidRPr="004A587B" w:rsidRDefault="00B21741" w:rsidP="00861EC1"/>
        </w:tc>
        <w:tc>
          <w:tcPr>
            <w:tcW w:w="2494" w:type="dxa"/>
            <w:noWrap/>
            <w:hideMark/>
          </w:tcPr>
          <w:p w14:paraId="5E5043E7" w14:textId="77777777" w:rsidR="00B21741" w:rsidRPr="004A587B" w:rsidRDefault="00B21741" w:rsidP="00861EC1">
            <w:r w:rsidRPr="004A587B">
              <w:t>H1 MASSARA GABOU</w:t>
            </w:r>
          </w:p>
        </w:tc>
        <w:tc>
          <w:tcPr>
            <w:tcW w:w="2508" w:type="dxa"/>
            <w:noWrap/>
            <w:hideMark/>
          </w:tcPr>
          <w:p w14:paraId="4849CD8F" w14:textId="77777777" w:rsidR="00B21741" w:rsidRPr="004A587B" w:rsidRDefault="00B21741" w:rsidP="00861EC1">
            <w:pPr>
              <w:rPr>
                <w:lang w:val="en-US"/>
              </w:rPr>
            </w:pPr>
            <w:r w:rsidRPr="004A587B">
              <w:rPr>
                <w:lang w:val="en-US"/>
              </w:rPr>
              <w:t>H1 KEUR CHEIKH DAOUR HANN</w:t>
            </w:r>
          </w:p>
        </w:tc>
        <w:tc>
          <w:tcPr>
            <w:tcW w:w="1552" w:type="dxa"/>
            <w:noWrap/>
            <w:hideMark/>
          </w:tcPr>
          <w:p w14:paraId="525FBC38" w14:textId="77777777" w:rsidR="00B21741" w:rsidRPr="004A587B" w:rsidRDefault="00B21741" w:rsidP="00861EC1">
            <w:r w:rsidRPr="004A587B">
              <w:t>4</w:t>
            </w:r>
          </w:p>
        </w:tc>
      </w:tr>
      <w:tr w:rsidR="00B21741" w:rsidRPr="004A587B" w14:paraId="048D1FAC" w14:textId="77777777" w:rsidTr="00861EC1">
        <w:trPr>
          <w:trHeight w:val="300"/>
        </w:trPr>
        <w:tc>
          <w:tcPr>
            <w:tcW w:w="1606" w:type="dxa"/>
            <w:vMerge/>
            <w:hideMark/>
          </w:tcPr>
          <w:p w14:paraId="3646D225" w14:textId="77777777" w:rsidR="00B21741" w:rsidRPr="004A587B" w:rsidRDefault="00B21741" w:rsidP="00861EC1"/>
        </w:tc>
        <w:tc>
          <w:tcPr>
            <w:tcW w:w="1751" w:type="dxa"/>
            <w:vMerge w:val="restart"/>
            <w:noWrap/>
            <w:hideMark/>
          </w:tcPr>
          <w:p w14:paraId="55F8B32D" w14:textId="77777777" w:rsidR="00B21741" w:rsidRPr="004A587B" w:rsidRDefault="00B21741" w:rsidP="00861EC1">
            <w:r w:rsidRPr="004A587B">
              <w:t>RONKH</w:t>
            </w:r>
          </w:p>
        </w:tc>
        <w:tc>
          <w:tcPr>
            <w:tcW w:w="2494" w:type="dxa"/>
            <w:noWrap/>
            <w:hideMark/>
          </w:tcPr>
          <w:p w14:paraId="40FEA81A" w14:textId="77777777" w:rsidR="00B21741" w:rsidRPr="004A587B" w:rsidRDefault="00B21741" w:rsidP="00861EC1">
            <w:r w:rsidRPr="004A587B">
              <w:t>H1 KEUR MOUSSA BA</w:t>
            </w:r>
          </w:p>
        </w:tc>
        <w:tc>
          <w:tcPr>
            <w:tcW w:w="2508" w:type="dxa"/>
            <w:noWrap/>
            <w:hideMark/>
          </w:tcPr>
          <w:p w14:paraId="0483D6B9" w14:textId="77777777" w:rsidR="00B21741" w:rsidRPr="004A587B" w:rsidRDefault="00B21741" w:rsidP="00861EC1">
            <w:r w:rsidRPr="004A587B">
              <w:t>H4 OUROULBE I</w:t>
            </w:r>
          </w:p>
        </w:tc>
        <w:tc>
          <w:tcPr>
            <w:tcW w:w="1552" w:type="dxa"/>
            <w:noWrap/>
            <w:hideMark/>
          </w:tcPr>
          <w:p w14:paraId="50D1328D" w14:textId="77777777" w:rsidR="00B21741" w:rsidRPr="004A587B" w:rsidRDefault="00B21741" w:rsidP="00861EC1">
            <w:r w:rsidRPr="004A587B">
              <w:t>1</w:t>
            </w:r>
          </w:p>
        </w:tc>
      </w:tr>
      <w:tr w:rsidR="00B21741" w:rsidRPr="004A587B" w14:paraId="2F329BD7" w14:textId="77777777" w:rsidTr="00861EC1">
        <w:trPr>
          <w:trHeight w:val="300"/>
        </w:trPr>
        <w:tc>
          <w:tcPr>
            <w:tcW w:w="1606" w:type="dxa"/>
            <w:vMerge/>
            <w:hideMark/>
          </w:tcPr>
          <w:p w14:paraId="3504B1CC" w14:textId="77777777" w:rsidR="00B21741" w:rsidRPr="004A587B" w:rsidRDefault="00B21741" w:rsidP="00861EC1"/>
        </w:tc>
        <w:tc>
          <w:tcPr>
            <w:tcW w:w="1751" w:type="dxa"/>
            <w:vMerge/>
            <w:hideMark/>
          </w:tcPr>
          <w:p w14:paraId="1025AE50" w14:textId="77777777" w:rsidR="00B21741" w:rsidRPr="004A587B" w:rsidRDefault="00B21741" w:rsidP="00861EC1"/>
        </w:tc>
        <w:tc>
          <w:tcPr>
            <w:tcW w:w="2494" w:type="dxa"/>
            <w:noWrap/>
            <w:hideMark/>
          </w:tcPr>
          <w:p w14:paraId="109CE651" w14:textId="77777777" w:rsidR="00B21741" w:rsidRPr="004A587B" w:rsidRDefault="00B21741" w:rsidP="00861EC1">
            <w:pPr>
              <w:rPr>
                <w:lang w:val="en-US"/>
              </w:rPr>
            </w:pPr>
            <w:r w:rsidRPr="004A587B">
              <w:rPr>
                <w:lang w:val="en-US"/>
              </w:rPr>
              <w:t>H3 LOUGUI DAYMISS III (CITE MEDINA MOUNTAGA)</w:t>
            </w:r>
          </w:p>
        </w:tc>
        <w:tc>
          <w:tcPr>
            <w:tcW w:w="2508" w:type="dxa"/>
            <w:noWrap/>
            <w:hideMark/>
          </w:tcPr>
          <w:p w14:paraId="6E3C6E31" w14:textId="77777777" w:rsidR="00B21741" w:rsidRPr="004A587B" w:rsidRDefault="00B21741" w:rsidP="00861EC1">
            <w:r w:rsidRPr="004A587B">
              <w:t>THIAGAR</w:t>
            </w:r>
          </w:p>
        </w:tc>
        <w:tc>
          <w:tcPr>
            <w:tcW w:w="1552" w:type="dxa"/>
            <w:noWrap/>
            <w:hideMark/>
          </w:tcPr>
          <w:p w14:paraId="1F5C338E" w14:textId="77777777" w:rsidR="00B21741" w:rsidRPr="004A587B" w:rsidRDefault="00B21741" w:rsidP="00861EC1">
            <w:r w:rsidRPr="004A587B">
              <w:t>2</w:t>
            </w:r>
          </w:p>
        </w:tc>
      </w:tr>
      <w:tr w:rsidR="00B21741" w:rsidRPr="004A587B" w14:paraId="07A0F0F2" w14:textId="77777777" w:rsidTr="00861EC1">
        <w:trPr>
          <w:trHeight w:val="300"/>
        </w:trPr>
        <w:tc>
          <w:tcPr>
            <w:tcW w:w="1606" w:type="dxa"/>
            <w:vMerge/>
            <w:hideMark/>
          </w:tcPr>
          <w:p w14:paraId="439144FF" w14:textId="77777777" w:rsidR="00B21741" w:rsidRPr="004A587B" w:rsidRDefault="00B21741" w:rsidP="00861EC1"/>
        </w:tc>
        <w:tc>
          <w:tcPr>
            <w:tcW w:w="1751" w:type="dxa"/>
            <w:vMerge/>
            <w:hideMark/>
          </w:tcPr>
          <w:p w14:paraId="3710C5D3" w14:textId="77777777" w:rsidR="00B21741" w:rsidRPr="004A587B" w:rsidRDefault="00B21741" w:rsidP="00861EC1"/>
        </w:tc>
        <w:tc>
          <w:tcPr>
            <w:tcW w:w="2494" w:type="dxa"/>
            <w:noWrap/>
            <w:hideMark/>
          </w:tcPr>
          <w:p w14:paraId="19820BAB" w14:textId="77777777" w:rsidR="00B21741" w:rsidRPr="004A587B" w:rsidRDefault="00B21741" w:rsidP="00861EC1">
            <w:r w:rsidRPr="004A587B">
              <w:t>KHEER</w:t>
            </w:r>
          </w:p>
        </w:tc>
        <w:tc>
          <w:tcPr>
            <w:tcW w:w="2508" w:type="dxa"/>
            <w:noWrap/>
            <w:hideMark/>
          </w:tcPr>
          <w:p w14:paraId="2D0654B2" w14:textId="77777777" w:rsidR="00B21741" w:rsidRPr="004A587B" w:rsidRDefault="00B21741" w:rsidP="00861EC1">
            <w:r w:rsidRPr="004A587B">
              <w:t>KASSACK SUD</w:t>
            </w:r>
          </w:p>
        </w:tc>
        <w:tc>
          <w:tcPr>
            <w:tcW w:w="1552" w:type="dxa"/>
            <w:noWrap/>
            <w:hideMark/>
          </w:tcPr>
          <w:p w14:paraId="66EC05A1" w14:textId="77777777" w:rsidR="00B21741" w:rsidRPr="004A587B" w:rsidRDefault="00B21741" w:rsidP="00861EC1">
            <w:r w:rsidRPr="004A587B">
              <w:t>3</w:t>
            </w:r>
          </w:p>
        </w:tc>
      </w:tr>
      <w:tr w:rsidR="00B21741" w:rsidRPr="004A587B" w14:paraId="7D0FF0FC" w14:textId="77777777" w:rsidTr="00861EC1">
        <w:trPr>
          <w:trHeight w:val="300"/>
        </w:trPr>
        <w:tc>
          <w:tcPr>
            <w:tcW w:w="1606" w:type="dxa"/>
            <w:vMerge/>
            <w:hideMark/>
          </w:tcPr>
          <w:p w14:paraId="44482644" w14:textId="77777777" w:rsidR="00B21741" w:rsidRPr="004A587B" w:rsidRDefault="00B21741" w:rsidP="00861EC1"/>
        </w:tc>
        <w:tc>
          <w:tcPr>
            <w:tcW w:w="1751" w:type="dxa"/>
            <w:vMerge/>
            <w:hideMark/>
          </w:tcPr>
          <w:p w14:paraId="1EF0DAF1" w14:textId="77777777" w:rsidR="00B21741" w:rsidRPr="004A587B" w:rsidRDefault="00B21741" w:rsidP="00861EC1"/>
        </w:tc>
        <w:tc>
          <w:tcPr>
            <w:tcW w:w="2494" w:type="dxa"/>
            <w:noWrap/>
            <w:hideMark/>
          </w:tcPr>
          <w:p w14:paraId="190C1A08" w14:textId="77777777" w:rsidR="00B21741" w:rsidRPr="004A587B" w:rsidRDefault="00B21741" w:rsidP="00861EC1">
            <w:r w:rsidRPr="004A587B">
              <w:t>WASSOUL</w:t>
            </w:r>
          </w:p>
        </w:tc>
        <w:tc>
          <w:tcPr>
            <w:tcW w:w="2508" w:type="dxa"/>
            <w:noWrap/>
            <w:hideMark/>
          </w:tcPr>
          <w:p w14:paraId="004F6D84" w14:textId="77777777" w:rsidR="00B21741" w:rsidRPr="004A587B" w:rsidRDefault="00B21741" w:rsidP="00861EC1">
            <w:r w:rsidRPr="004A587B">
              <w:t>H1 LOUGUI DAYMISS I</w:t>
            </w:r>
          </w:p>
        </w:tc>
        <w:tc>
          <w:tcPr>
            <w:tcW w:w="1552" w:type="dxa"/>
            <w:noWrap/>
            <w:hideMark/>
          </w:tcPr>
          <w:p w14:paraId="022914CF" w14:textId="77777777" w:rsidR="00B21741" w:rsidRPr="004A587B" w:rsidRDefault="00B21741" w:rsidP="00861EC1">
            <w:r w:rsidRPr="004A587B">
              <w:t>4</w:t>
            </w:r>
          </w:p>
        </w:tc>
      </w:tr>
      <w:tr w:rsidR="00B21741" w:rsidRPr="004A587B" w14:paraId="15D2D30C" w14:textId="77777777" w:rsidTr="00861EC1">
        <w:trPr>
          <w:trHeight w:val="300"/>
        </w:trPr>
        <w:tc>
          <w:tcPr>
            <w:tcW w:w="1606" w:type="dxa"/>
            <w:vMerge w:val="restart"/>
            <w:noWrap/>
            <w:hideMark/>
          </w:tcPr>
          <w:p w14:paraId="679CED11" w14:textId="77777777" w:rsidR="00B21741" w:rsidRPr="004A587B" w:rsidRDefault="00B21741" w:rsidP="00861EC1">
            <w:r w:rsidRPr="004A587B">
              <w:t>KOUPENTOUM</w:t>
            </w:r>
          </w:p>
        </w:tc>
        <w:tc>
          <w:tcPr>
            <w:tcW w:w="1751" w:type="dxa"/>
            <w:vMerge w:val="restart"/>
            <w:noWrap/>
            <w:hideMark/>
          </w:tcPr>
          <w:p w14:paraId="0A3F96FF" w14:textId="77777777" w:rsidR="00B21741" w:rsidRPr="004A587B" w:rsidRDefault="00B21741" w:rsidP="00861EC1">
            <w:r w:rsidRPr="004A587B">
              <w:t>COM. KOUMPENTOUM</w:t>
            </w:r>
          </w:p>
        </w:tc>
        <w:tc>
          <w:tcPr>
            <w:tcW w:w="2494" w:type="dxa"/>
            <w:noWrap/>
            <w:hideMark/>
          </w:tcPr>
          <w:p w14:paraId="449064BE" w14:textId="77777777" w:rsidR="00B21741" w:rsidRPr="004A587B" w:rsidRDefault="00B21741" w:rsidP="00861EC1">
            <w:r w:rsidRPr="004A587B">
              <w:t>ECOLE II (TRAVAUX)</w:t>
            </w:r>
          </w:p>
        </w:tc>
        <w:tc>
          <w:tcPr>
            <w:tcW w:w="2508" w:type="dxa"/>
            <w:noWrap/>
            <w:hideMark/>
          </w:tcPr>
          <w:p w14:paraId="72759806" w14:textId="77777777" w:rsidR="00B21741" w:rsidRPr="004A587B" w:rsidRDefault="00B21741" w:rsidP="00861EC1">
            <w:r w:rsidRPr="004A587B">
              <w:t>ESCALE III</w:t>
            </w:r>
          </w:p>
        </w:tc>
        <w:tc>
          <w:tcPr>
            <w:tcW w:w="1552" w:type="dxa"/>
            <w:noWrap/>
            <w:hideMark/>
          </w:tcPr>
          <w:p w14:paraId="24561791" w14:textId="77777777" w:rsidR="00B21741" w:rsidRPr="004A587B" w:rsidRDefault="00B21741" w:rsidP="00861EC1">
            <w:r w:rsidRPr="004A587B">
              <w:t>1</w:t>
            </w:r>
          </w:p>
        </w:tc>
      </w:tr>
      <w:tr w:rsidR="00B21741" w:rsidRPr="004A587B" w14:paraId="1CCE7172" w14:textId="77777777" w:rsidTr="00861EC1">
        <w:trPr>
          <w:trHeight w:val="300"/>
        </w:trPr>
        <w:tc>
          <w:tcPr>
            <w:tcW w:w="1606" w:type="dxa"/>
            <w:vMerge/>
            <w:hideMark/>
          </w:tcPr>
          <w:p w14:paraId="53F71DC5" w14:textId="77777777" w:rsidR="00B21741" w:rsidRPr="004A587B" w:rsidRDefault="00B21741" w:rsidP="00861EC1"/>
        </w:tc>
        <w:tc>
          <w:tcPr>
            <w:tcW w:w="1751" w:type="dxa"/>
            <w:vMerge/>
            <w:hideMark/>
          </w:tcPr>
          <w:p w14:paraId="4A3DE110" w14:textId="77777777" w:rsidR="00B21741" w:rsidRPr="004A587B" w:rsidRDefault="00B21741" w:rsidP="00861EC1"/>
        </w:tc>
        <w:tc>
          <w:tcPr>
            <w:tcW w:w="2494" w:type="dxa"/>
            <w:noWrap/>
            <w:hideMark/>
          </w:tcPr>
          <w:p w14:paraId="42EFFC21" w14:textId="77777777" w:rsidR="00B21741" w:rsidRPr="004A587B" w:rsidRDefault="00B21741" w:rsidP="00861EC1">
            <w:r w:rsidRPr="004A587B">
              <w:t>ESCALE I</w:t>
            </w:r>
          </w:p>
        </w:tc>
        <w:tc>
          <w:tcPr>
            <w:tcW w:w="2508" w:type="dxa"/>
            <w:noWrap/>
            <w:hideMark/>
          </w:tcPr>
          <w:p w14:paraId="0BA84540" w14:textId="77777777" w:rsidR="00B21741" w:rsidRPr="004A587B" w:rsidRDefault="00B21741" w:rsidP="00861EC1">
            <w:r w:rsidRPr="004A587B">
              <w:t>ECOLE I</w:t>
            </w:r>
          </w:p>
        </w:tc>
        <w:tc>
          <w:tcPr>
            <w:tcW w:w="1552" w:type="dxa"/>
            <w:noWrap/>
            <w:hideMark/>
          </w:tcPr>
          <w:p w14:paraId="517551C2" w14:textId="77777777" w:rsidR="00B21741" w:rsidRPr="004A587B" w:rsidRDefault="00B21741" w:rsidP="00861EC1">
            <w:r w:rsidRPr="004A587B">
              <w:t>2</w:t>
            </w:r>
          </w:p>
        </w:tc>
      </w:tr>
      <w:tr w:rsidR="00B21741" w:rsidRPr="004A587B" w14:paraId="67BA42E4" w14:textId="77777777" w:rsidTr="00861EC1">
        <w:trPr>
          <w:trHeight w:val="300"/>
        </w:trPr>
        <w:tc>
          <w:tcPr>
            <w:tcW w:w="1606" w:type="dxa"/>
            <w:vMerge/>
            <w:hideMark/>
          </w:tcPr>
          <w:p w14:paraId="36E2E075" w14:textId="77777777" w:rsidR="00B21741" w:rsidRPr="004A587B" w:rsidRDefault="00B21741" w:rsidP="00861EC1"/>
        </w:tc>
        <w:tc>
          <w:tcPr>
            <w:tcW w:w="1751" w:type="dxa"/>
            <w:vMerge/>
            <w:hideMark/>
          </w:tcPr>
          <w:p w14:paraId="38C9AB44" w14:textId="77777777" w:rsidR="00B21741" w:rsidRPr="004A587B" w:rsidRDefault="00B21741" w:rsidP="00861EC1"/>
        </w:tc>
        <w:tc>
          <w:tcPr>
            <w:tcW w:w="2494" w:type="dxa"/>
            <w:noWrap/>
            <w:hideMark/>
          </w:tcPr>
          <w:p w14:paraId="2BBC2379" w14:textId="77777777" w:rsidR="00B21741" w:rsidRPr="004A587B" w:rsidRDefault="00B21741" w:rsidP="00861EC1">
            <w:r w:rsidRPr="004A587B">
              <w:t>ESCALE II (GUINAW RAIL)</w:t>
            </w:r>
          </w:p>
        </w:tc>
        <w:tc>
          <w:tcPr>
            <w:tcW w:w="2508" w:type="dxa"/>
            <w:noWrap/>
            <w:hideMark/>
          </w:tcPr>
          <w:p w14:paraId="6BA9B5A4" w14:textId="77777777" w:rsidR="00B21741" w:rsidRPr="004A587B" w:rsidRDefault="00B21741" w:rsidP="00861EC1">
            <w:r w:rsidRPr="004A587B">
              <w:t>KEUR SOCE</w:t>
            </w:r>
          </w:p>
        </w:tc>
        <w:tc>
          <w:tcPr>
            <w:tcW w:w="1552" w:type="dxa"/>
            <w:noWrap/>
            <w:hideMark/>
          </w:tcPr>
          <w:p w14:paraId="68AA48DD" w14:textId="77777777" w:rsidR="00B21741" w:rsidRPr="004A587B" w:rsidRDefault="00B21741" w:rsidP="00861EC1">
            <w:r w:rsidRPr="004A587B">
              <w:t>3</w:t>
            </w:r>
          </w:p>
        </w:tc>
      </w:tr>
      <w:tr w:rsidR="00B21741" w:rsidRPr="004A587B" w14:paraId="50A2C33E" w14:textId="77777777" w:rsidTr="00861EC1">
        <w:trPr>
          <w:trHeight w:val="300"/>
        </w:trPr>
        <w:tc>
          <w:tcPr>
            <w:tcW w:w="1606" w:type="dxa"/>
            <w:vMerge/>
            <w:hideMark/>
          </w:tcPr>
          <w:p w14:paraId="6FA50149" w14:textId="77777777" w:rsidR="00B21741" w:rsidRPr="004A587B" w:rsidRDefault="00B21741" w:rsidP="00861EC1"/>
        </w:tc>
        <w:tc>
          <w:tcPr>
            <w:tcW w:w="1751" w:type="dxa"/>
            <w:vMerge/>
            <w:hideMark/>
          </w:tcPr>
          <w:p w14:paraId="282F5345" w14:textId="77777777" w:rsidR="00B21741" w:rsidRPr="004A587B" w:rsidRDefault="00B21741" w:rsidP="00861EC1"/>
        </w:tc>
        <w:tc>
          <w:tcPr>
            <w:tcW w:w="2494" w:type="dxa"/>
            <w:noWrap/>
            <w:hideMark/>
          </w:tcPr>
          <w:p w14:paraId="3A9A3A62" w14:textId="77777777" w:rsidR="00B21741" w:rsidRPr="004A587B" w:rsidRDefault="00B21741" w:rsidP="00861EC1">
            <w:r w:rsidRPr="004A587B">
              <w:t>WASSADOU</w:t>
            </w:r>
          </w:p>
        </w:tc>
        <w:tc>
          <w:tcPr>
            <w:tcW w:w="2508" w:type="dxa"/>
            <w:noWrap/>
            <w:hideMark/>
          </w:tcPr>
          <w:p w14:paraId="49BEA3E8" w14:textId="77777777" w:rsidR="00B21741" w:rsidRPr="004A587B" w:rsidRDefault="00B21741" w:rsidP="00861EC1">
            <w:r w:rsidRPr="004A587B">
              <w:t>GRANDE VILLE I</w:t>
            </w:r>
          </w:p>
        </w:tc>
        <w:tc>
          <w:tcPr>
            <w:tcW w:w="1552" w:type="dxa"/>
            <w:noWrap/>
            <w:hideMark/>
          </w:tcPr>
          <w:p w14:paraId="31A2E11C" w14:textId="77777777" w:rsidR="00B21741" w:rsidRPr="004A587B" w:rsidRDefault="00B21741" w:rsidP="00861EC1">
            <w:r w:rsidRPr="004A587B">
              <w:t>4</w:t>
            </w:r>
          </w:p>
        </w:tc>
      </w:tr>
      <w:tr w:rsidR="00B21741" w:rsidRPr="004A587B" w14:paraId="1C5C4DA6" w14:textId="77777777" w:rsidTr="00861EC1">
        <w:trPr>
          <w:trHeight w:val="300"/>
        </w:trPr>
        <w:tc>
          <w:tcPr>
            <w:tcW w:w="1606" w:type="dxa"/>
            <w:vMerge/>
            <w:hideMark/>
          </w:tcPr>
          <w:p w14:paraId="0F28F3B9" w14:textId="77777777" w:rsidR="00B21741" w:rsidRPr="004A587B" w:rsidRDefault="00B21741" w:rsidP="00861EC1"/>
        </w:tc>
        <w:tc>
          <w:tcPr>
            <w:tcW w:w="1751" w:type="dxa"/>
            <w:vMerge w:val="restart"/>
            <w:noWrap/>
            <w:hideMark/>
          </w:tcPr>
          <w:p w14:paraId="311ABDA6" w14:textId="77777777" w:rsidR="00B21741" w:rsidRPr="004A587B" w:rsidRDefault="00B21741" w:rsidP="00861EC1">
            <w:r w:rsidRPr="004A587B">
              <w:t>KOUTHIABA WOLOF</w:t>
            </w:r>
          </w:p>
        </w:tc>
        <w:tc>
          <w:tcPr>
            <w:tcW w:w="2494" w:type="dxa"/>
            <w:noWrap/>
            <w:hideMark/>
          </w:tcPr>
          <w:p w14:paraId="69EA610B" w14:textId="77777777" w:rsidR="00B21741" w:rsidRPr="004A587B" w:rsidRDefault="00B21741" w:rsidP="00861EC1">
            <w:r w:rsidRPr="004A587B">
              <w:t>BALL MAYATA TAMPAYE</w:t>
            </w:r>
          </w:p>
        </w:tc>
        <w:tc>
          <w:tcPr>
            <w:tcW w:w="2508" w:type="dxa"/>
            <w:noWrap/>
            <w:hideMark/>
          </w:tcPr>
          <w:p w14:paraId="5F99D7BC" w14:textId="77777777" w:rsidR="00B21741" w:rsidRPr="004A587B" w:rsidRDefault="00B21741" w:rsidP="00861EC1">
            <w:r w:rsidRPr="004A587B">
              <w:t>H1 BATANGUEL PEULH II</w:t>
            </w:r>
          </w:p>
        </w:tc>
        <w:tc>
          <w:tcPr>
            <w:tcW w:w="1552" w:type="dxa"/>
            <w:noWrap/>
            <w:hideMark/>
          </w:tcPr>
          <w:p w14:paraId="2BF620FD" w14:textId="77777777" w:rsidR="00B21741" w:rsidRPr="004A587B" w:rsidRDefault="00B21741" w:rsidP="00861EC1">
            <w:r w:rsidRPr="004A587B">
              <w:t>1</w:t>
            </w:r>
          </w:p>
        </w:tc>
      </w:tr>
      <w:tr w:rsidR="00B21741" w:rsidRPr="004A587B" w14:paraId="7FBB586D" w14:textId="77777777" w:rsidTr="00861EC1">
        <w:trPr>
          <w:trHeight w:val="300"/>
        </w:trPr>
        <w:tc>
          <w:tcPr>
            <w:tcW w:w="1606" w:type="dxa"/>
            <w:vMerge/>
            <w:hideMark/>
          </w:tcPr>
          <w:p w14:paraId="1C1B9493" w14:textId="77777777" w:rsidR="00B21741" w:rsidRPr="004A587B" w:rsidRDefault="00B21741" w:rsidP="00861EC1"/>
        </w:tc>
        <w:tc>
          <w:tcPr>
            <w:tcW w:w="1751" w:type="dxa"/>
            <w:vMerge/>
            <w:hideMark/>
          </w:tcPr>
          <w:p w14:paraId="691F98E0" w14:textId="77777777" w:rsidR="00B21741" w:rsidRPr="004A587B" w:rsidRDefault="00B21741" w:rsidP="00861EC1"/>
        </w:tc>
        <w:tc>
          <w:tcPr>
            <w:tcW w:w="2494" w:type="dxa"/>
            <w:noWrap/>
            <w:hideMark/>
          </w:tcPr>
          <w:p w14:paraId="7C38C288" w14:textId="77777777" w:rsidR="00B21741" w:rsidRPr="004A587B" w:rsidRDefault="00B21741" w:rsidP="00861EC1">
            <w:r w:rsidRPr="004A587B">
              <w:t>DAROU KHADIM (SINTHIOU SALIOU)</w:t>
            </w:r>
          </w:p>
        </w:tc>
        <w:tc>
          <w:tcPr>
            <w:tcW w:w="2508" w:type="dxa"/>
            <w:noWrap/>
            <w:hideMark/>
          </w:tcPr>
          <w:p w14:paraId="288BD099" w14:textId="77777777" w:rsidR="00B21741" w:rsidRPr="004A587B" w:rsidRDefault="00B21741" w:rsidP="00861EC1">
            <w:r w:rsidRPr="004A587B">
              <w:t>H1 THIOYENE DEMBA</w:t>
            </w:r>
          </w:p>
        </w:tc>
        <w:tc>
          <w:tcPr>
            <w:tcW w:w="1552" w:type="dxa"/>
            <w:noWrap/>
            <w:hideMark/>
          </w:tcPr>
          <w:p w14:paraId="16CE345C" w14:textId="77777777" w:rsidR="00B21741" w:rsidRPr="004A587B" w:rsidRDefault="00B21741" w:rsidP="00861EC1">
            <w:r w:rsidRPr="004A587B">
              <w:t>2</w:t>
            </w:r>
          </w:p>
        </w:tc>
      </w:tr>
      <w:tr w:rsidR="00B21741" w:rsidRPr="004A587B" w14:paraId="35D064C6" w14:textId="77777777" w:rsidTr="00861EC1">
        <w:trPr>
          <w:trHeight w:val="300"/>
        </w:trPr>
        <w:tc>
          <w:tcPr>
            <w:tcW w:w="1606" w:type="dxa"/>
            <w:vMerge/>
            <w:hideMark/>
          </w:tcPr>
          <w:p w14:paraId="513C57D7" w14:textId="77777777" w:rsidR="00B21741" w:rsidRPr="004A587B" w:rsidRDefault="00B21741" w:rsidP="00861EC1"/>
        </w:tc>
        <w:tc>
          <w:tcPr>
            <w:tcW w:w="1751" w:type="dxa"/>
            <w:vMerge/>
            <w:hideMark/>
          </w:tcPr>
          <w:p w14:paraId="1302B1E5" w14:textId="77777777" w:rsidR="00B21741" w:rsidRPr="004A587B" w:rsidRDefault="00B21741" w:rsidP="00861EC1"/>
        </w:tc>
        <w:tc>
          <w:tcPr>
            <w:tcW w:w="2494" w:type="dxa"/>
            <w:noWrap/>
            <w:hideMark/>
          </w:tcPr>
          <w:p w14:paraId="696F490C" w14:textId="77777777" w:rsidR="00B21741" w:rsidRPr="004A587B" w:rsidRDefault="00B21741" w:rsidP="00861EC1">
            <w:r w:rsidRPr="004A587B">
              <w:t>H1 MORODJE PATHE</w:t>
            </w:r>
          </w:p>
        </w:tc>
        <w:tc>
          <w:tcPr>
            <w:tcW w:w="2508" w:type="dxa"/>
            <w:noWrap/>
            <w:hideMark/>
          </w:tcPr>
          <w:p w14:paraId="6D524DAA" w14:textId="77777777" w:rsidR="00B21741" w:rsidRPr="004A587B" w:rsidRDefault="00B21741" w:rsidP="00861EC1">
            <w:r w:rsidRPr="004A587B">
              <w:t>H1 SYLL POMANENE</w:t>
            </w:r>
          </w:p>
        </w:tc>
        <w:tc>
          <w:tcPr>
            <w:tcW w:w="1552" w:type="dxa"/>
            <w:noWrap/>
            <w:hideMark/>
          </w:tcPr>
          <w:p w14:paraId="097A59B7" w14:textId="77777777" w:rsidR="00B21741" w:rsidRPr="004A587B" w:rsidRDefault="00B21741" w:rsidP="00861EC1">
            <w:r w:rsidRPr="004A587B">
              <w:t>3</w:t>
            </w:r>
          </w:p>
        </w:tc>
      </w:tr>
      <w:tr w:rsidR="00B21741" w:rsidRPr="004A587B" w14:paraId="71FC62CE" w14:textId="77777777" w:rsidTr="00861EC1">
        <w:trPr>
          <w:trHeight w:val="300"/>
        </w:trPr>
        <w:tc>
          <w:tcPr>
            <w:tcW w:w="1606" w:type="dxa"/>
            <w:vMerge/>
            <w:hideMark/>
          </w:tcPr>
          <w:p w14:paraId="16B6C89D" w14:textId="77777777" w:rsidR="00B21741" w:rsidRPr="004A587B" w:rsidRDefault="00B21741" w:rsidP="00861EC1"/>
        </w:tc>
        <w:tc>
          <w:tcPr>
            <w:tcW w:w="1751" w:type="dxa"/>
            <w:vMerge/>
            <w:hideMark/>
          </w:tcPr>
          <w:p w14:paraId="7D3AE9DA" w14:textId="77777777" w:rsidR="00B21741" w:rsidRPr="004A587B" w:rsidRDefault="00B21741" w:rsidP="00861EC1"/>
        </w:tc>
        <w:tc>
          <w:tcPr>
            <w:tcW w:w="2494" w:type="dxa"/>
            <w:noWrap/>
            <w:hideMark/>
          </w:tcPr>
          <w:p w14:paraId="582A4096" w14:textId="77777777" w:rsidR="00B21741" w:rsidRPr="004A587B" w:rsidRDefault="00B21741" w:rsidP="00861EC1">
            <w:r w:rsidRPr="004A587B">
              <w:t>SARE HAMADY</w:t>
            </w:r>
          </w:p>
        </w:tc>
        <w:tc>
          <w:tcPr>
            <w:tcW w:w="2508" w:type="dxa"/>
            <w:noWrap/>
            <w:hideMark/>
          </w:tcPr>
          <w:p w14:paraId="67FCA603" w14:textId="77777777" w:rsidR="00B21741" w:rsidRPr="004A587B" w:rsidRDefault="00B21741" w:rsidP="00861EC1">
            <w:r w:rsidRPr="004A587B">
              <w:t>SINTHIOU BALL</w:t>
            </w:r>
          </w:p>
        </w:tc>
        <w:tc>
          <w:tcPr>
            <w:tcW w:w="1552" w:type="dxa"/>
            <w:noWrap/>
            <w:hideMark/>
          </w:tcPr>
          <w:p w14:paraId="6279B407" w14:textId="77777777" w:rsidR="00B21741" w:rsidRPr="004A587B" w:rsidRDefault="00B21741" w:rsidP="00861EC1">
            <w:r w:rsidRPr="004A587B">
              <w:t>4</w:t>
            </w:r>
          </w:p>
        </w:tc>
      </w:tr>
      <w:tr w:rsidR="00B21741" w:rsidRPr="004A587B" w14:paraId="34CF5843" w14:textId="77777777" w:rsidTr="00861EC1">
        <w:trPr>
          <w:trHeight w:val="300"/>
        </w:trPr>
        <w:tc>
          <w:tcPr>
            <w:tcW w:w="1606" w:type="dxa"/>
            <w:vMerge w:val="restart"/>
            <w:noWrap/>
            <w:hideMark/>
          </w:tcPr>
          <w:p w14:paraId="7A67791C" w14:textId="77777777" w:rsidR="00B21741" w:rsidRPr="004A587B" w:rsidRDefault="00B21741" w:rsidP="00861EC1">
            <w:r w:rsidRPr="004A587B">
              <w:t>LINGUERE</w:t>
            </w:r>
          </w:p>
        </w:tc>
        <w:tc>
          <w:tcPr>
            <w:tcW w:w="1751" w:type="dxa"/>
            <w:vMerge w:val="restart"/>
            <w:noWrap/>
            <w:hideMark/>
          </w:tcPr>
          <w:p w14:paraId="6E9E262C" w14:textId="77777777" w:rsidR="00B21741" w:rsidRPr="004A587B" w:rsidRDefault="00B21741" w:rsidP="00861EC1">
            <w:r w:rsidRPr="004A587B">
              <w:t>AFFE DJOLOFF</w:t>
            </w:r>
          </w:p>
        </w:tc>
        <w:tc>
          <w:tcPr>
            <w:tcW w:w="2494" w:type="dxa"/>
            <w:noWrap/>
            <w:hideMark/>
          </w:tcPr>
          <w:p w14:paraId="442B61B1" w14:textId="77777777" w:rsidR="00B21741" w:rsidRPr="004A587B" w:rsidRDefault="00B21741" w:rsidP="00861EC1">
            <w:r w:rsidRPr="004A587B">
              <w:t>H1 GANDE</w:t>
            </w:r>
          </w:p>
        </w:tc>
        <w:tc>
          <w:tcPr>
            <w:tcW w:w="2508" w:type="dxa"/>
            <w:noWrap/>
            <w:hideMark/>
          </w:tcPr>
          <w:p w14:paraId="4F4F98F1" w14:textId="77777777" w:rsidR="00B21741" w:rsidRPr="004A587B" w:rsidRDefault="00B21741" w:rsidP="00861EC1">
            <w:r w:rsidRPr="004A587B">
              <w:t>NIOKHORLOU</w:t>
            </w:r>
          </w:p>
        </w:tc>
        <w:tc>
          <w:tcPr>
            <w:tcW w:w="1552" w:type="dxa"/>
            <w:noWrap/>
            <w:hideMark/>
          </w:tcPr>
          <w:p w14:paraId="3BAB46FE" w14:textId="77777777" w:rsidR="00B21741" w:rsidRPr="004A587B" w:rsidRDefault="00B21741" w:rsidP="00861EC1">
            <w:r w:rsidRPr="004A587B">
              <w:t>1</w:t>
            </w:r>
          </w:p>
        </w:tc>
      </w:tr>
      <w:tr w:rsidR="00B21741" w:rsidRPr="004A587B" w14:paraId="24E4B364" w14:textId="77777777" w:rsidTr="00861EC1">
        <w:trPr>
          <w:trHeight w:val="300"/>
        </w:trPr>
        <w:tc>
          <w:tcPr>
            <w:tcW w:w="1606" w:type="dxa"/>
            <w:vMerge/>
            <w:hideMark/>
          </w:tcPr>
          <w:p w14:paraId="1179E1F4" w14:textId="77777777" w:rsidR="00B21741" w:rsidRPr="004A587B" w:rsidRDefault="00B21741" w:rsidP="00861EC1"/>
        </w:tc>
        <w:tc>
          <w:tcPr>
            <w:tcW w:w="1751" w:type="dxa"/>
            <w:vMerge/>
            <w:hideMark/>
          </w:tcPr>
          <w:p w14:paraId="0BDDF86E" w14:textId="77777777" w:rsidR="00B21741" w:rsidRPr="004A587B" w:rsidRDefault="00B21741" w:rsidP="00861EC1"/>
        </w:tc>
        <w:tc>
          <w:tcPr>
            <w:tcW w:w="2494" w:type="dxa"/>
            <w:noWrap/>
            <w:hideMark/>
          </w:tcPr>
          <w:p w14:paraId="5D903C92" w14:textId="77777777" w:rsidR="00B21741" w:rsidRPr="004A587B" w:rsidRDefault="00B21741" w:rsidP="00861EC1">
            <w:r w:rsidRPr="004A587B">
              <w:t>H1 POLLY</w:t>
            </w:r>
          </w:p>
        </w:tc>
        <w:tc>
          <w:tcPr>
            <w:tcW w:w="2508" w:type="dxa"/>
            <w:noWrap/>
            <w:hideMark/>
          </w:tcPr>
          <w:p w14:paraId="0170981E" w14:textId="77777777" w:rsidR="00B21741" w:rsidRPr="004A587B" w:rsidRDefault="00B21741" w:rsidP="00861EC1">
            <w:r w:rsidRPr="004A587B">
              <w:t>THYNDY BERNDE</w:t>
            </w:r>
          </w:p>
        </w:tc>
        <w:tc>
          <w:tcPr>
            <w:tcW w:w="1552" w:type="dxa"/>
            <w:noWrap/>
            <w:hideMark/>
          </w:tcPr>
          <w:p w14:paraId="578859AA" w14:textId="77777777" w:rsidR="00B21741" w:rsidRPr="004A587B" w:rsidRDefault="00B21741" w:rsidP="00861EC1">
            <w:r w:rsidRPr="004A587B">
              <w:t>2</w:t>
            </w:r>
          </w:p>
        </w:tc>
      </w:tr>
      <w:tr w:rsidR="00B21741" w:rsidRPr="004A587B" w14:paraId="0849EC6A" w14:textId="77777777" w:rsidTr="00861EC1">
        <w:trPr>
          <w:trHeight w:val="300"/>
        </w:trPr>
        <w:tc>
          <w:tcPr>
            <w:tcW w:w="1606" w:type="dxa"/>
            <w:vMerge/>
            <w:hideMark/>
          </w:tcPr>
          <w:p w14:paraId="74C2C018" w14:textId="77777777" w:rsidR="00B21741" w:rsidRPr="004A587B" w:rsidRDefault="00B21741" w:rsidP="00861EC1"/>
        </w:tc>
        <w:tc>
          <w:tcPr>
            <w:tcW w:w="1751" w:type="dxa"/>
            <w:vMerge/>
            <w:hideMark/>
          </w:tcPr>
          <w:p w14:paraId="6E503E78" w14:textId="77777777" w:rsidR="00B21741" w:rsidRPr="004A587B" w:rsidRDefault="00B21741" w:rsidP="00861EC1"/>
        </w:tc>
        <w:tc>
          <w:tcPr>
            <w:tcW w:w="2494" w:type="dxa"/>
            <w:noWrap/>
            <w:hideMark/>
          </w:tcPr>
          <w:p w14:paraId="17797536" w14:textId="77777777" w:rsidR="00B21741" w:rsidRPr="004A587B" w:rsidRDefault="00B21741" w:rsidP="00861EC1">
            <w:r w:rsidRPr="004A587B">
              <w:t>NIANTANG</w:t>
            </w:r>
          </w:p>
        </w:tc>
        <w:tc>
          <w:tcPr>
            <w:tcW w:w="2508" w:type="dxa"/>
            <w:noWrap/>
            <w:hideMark/>
          </w:tcPr>
          <w:p w14:paraId="29925696" w14:textId="77777777" w:rsidR="00B21741" w:rsidRPr="004A587B" w:rsidRDefault="00B21741" w:rsidP="00861EC1">
            <w:r w:rsidRPr="004A587B">
              <w:t>LEW YEDDI</w:t>
            </w:r>
          </w:p>
        </w:tc>
        <w:tc>
          <w:tcPr>
            <w:tcW w:w="1552" w:type="dxa"/>
            <w:noWrap/>
            <w:hideMark/>
          </w:tcPr>
          <w:p w14:paraId="6E107448" w14:textId="77777777" w:rsidR="00B21741" w:rsidRPr="004A587B" w:rsidRDefault="00B21741" w:rsidP="00861EC1">
            <w:r w:rsidRPr="004A587B">
              <w:t>3</w:t>
            </w:r>
          </w:p>
        </w:tc>
      </w:tr>
      <w:tr w:rsidR="00B21741" w:rsidRPr="004A587B" w14:paraId="7ACCCE1E" w14:textId="77777777" w:rsidTr="00861EC1">
        <w:trPr>
          <w:trHeight w:val="300"/>
        </w:trPr>
        <w:tc>
          <w:tcPr>
            <w:tcW w:w="1606" w:type="dxa"/>
            <w:vMerge/>
            <w:hideMark/>
          </w:tcPr>
          <w:p w14:paraId="16FF5489" w14:textId="77777777" w:rsidR="00B21741" w:rsidRPr="004A587B" w:rsidRDefault="00B21741" w:rsidP="00861EC1"/>
        </w:tc>
        <w:tc>
          <w:tcPr>
            <w:tcW w:w="1751" w:type="dxa"/>
            <w:vMerge/>
            <w:hideMark/>
          </w:tcPr>
          <w:p w14:paraId="5C5ABDD2" w14:textId="77777777" w:rsidR="00B21741" w:rsidRPr="004A587B" w:rsidRDefault="00B21741" w:rsidP="00861EC1"/>
        </w:tc>
        <w:tc>
          <w:tcPr>
            <w:tcW w:w="2494" w:type="dxa"/>
            <w:noWrap/>
            <w:hideMark/>
          </w:tcPr>
          <w:p w14:paraId="20310805" w14:textId="77777777" w:rsidR="00B21741" w:rsidRPr="004A587B" w:rsidRDefault="00B21741" w:rsidP="00861EC1">
            <w:r w:rsidRPr="004A587B">
              <w:t>THIR NGUEL SIWOL</w:t>
            </w:r>
          </w:p>
        </w:tc>
        <w:tc>
          <w:tcPr>
            <w:tcW w:w="2508" w:type="dxa"/>
            <w:noWrap/>
            <w:hideMark/>
          </w:tcPr>
          <w:p w14:paraId="140D5C6B" w14:textId="77777777" w:rsidR="00B21741" w:rsidRPr="004A587B" w:rsidRDefault="00B21741" w:rsidP="00861EC1">
            <w:r w:rsidRPr="004A587B">
              <w:t>GADY</w:t>
            </w:r>
          </w:p>
        </w:tc>
        <w:tc>
          <w:tcPr>
            <w:tcW w:w="1552" w:type="dxa"/>
            <w:noWrap/>
            <w:hideMark/>
          </w:tcPr>
          <w:p w14:paraId="5F9F3BFA" w14:textId="77777777" w:rsidR="00B21741" w:rsidRPr="004A587B" w:rsidRDefault="00B21741" w:rsidP="00861EC1">
            <w:r w:rsidRPr="004A587B">
              <w:t>4</w:t>
            </w:r>
          </w:p>
        </w:tc>
      </w:tr>
      <w:tr w:rsidR="00B21741" w:rsidRPr="004A587B" w14:paraId="159DC4EE" w14:textId="77777777" w:rsidTr="00861EC1">
        <w:trPr>
          <w:trHeight w:val="300"/>
        </w:trPr>
        <w:tc>
          <w:tcPr>
            <w:tcW w:w="1606" w:type="dxa"/>
            <w:vMerge/>
            <w:hideMark/>
          </w:tcPr>
          <w:p w14:paraId="1E0C4F1C" w14:textId="77777777" w:rsidR="00B21741" w:rsidRPr="004A587B" w:rsidRDefault="00B21741" w:rsidP="00861EC1"/>
        </w:tc>
        <w:tc>
          <w:tcPr>
            <w:tcW w:w="1751" w:type="dxa"/>
            <w:vMerge w:val="restart"/>
            <w:noWrap/>
            <w:hideMark/>
          </w:tcPr>
          <w:p w14:paraId="5943A289" w14:textId="77777777" w:rsidR="00B21741" w:rsidRPr="004A587B" w:rsidRDefault="00B21741" w:rsidP="00861EC1">
            <w:r w:rsidRPr="004A587B">
              <w:t>GASSANE</w:t>
            </w:r>
          </w:p>
        </w:tc>
        <w:tc>
          <w:tcPr>
            <w:tcW w:w="2494" w:type="dxa"/>
            <w:noWrap/>
            <w:hideMark/>
          </w:tcPr>
          <w:p w14:paraId="12BF58E9" w14:textId="77777777" w:rsidR="00B21741" w:rsidRPr="004A587B" w:rsidRDefault="00B21741" w:rsidP="00861EC1">
            <w:r w:rsidRPr="004A587B">
              <w:t>FOGNY</w:t>
            </w:r>
          </w:p>
        </w:tc>
        <w:tc>
          <w:tcPr>
            <w:tcW w:w="2508" w:type="dxa"/>
            <w:noWrap/>
            <w:hideMark/>
          </w:tcPr>
          <w:p w14:paraId="51C28EC7" w14:textId="77777777" w:rsidR="00B21741" w:rsidRPr="004A587B" w:rsidRDefault="00B21741" w:rsidP="00861EC1">
            <w:r w:rsidRPr="004A587B">
              <w:t>H2 GUELODE DIAGNE</w:t>
            </w:r>
          </w:p>
        </w:tc>
        <w:tc>
          <w:tcPr>
            <w:tcW w:w="1552" w:type="dxa"/>
            <w:noWrap/>
            <w:hideMark/>
          </w:tcPr>
          <w:p w14:paraId="2FEC419C" w14:textId="77777777" w:rsidR="00B21741" w:rsidRPr="004A587B" w:rsidRDefault="00B21741" w:rsidP="00861EC1">
            <w:r w:rsidRPr="004A587B">
              <w:t>1</w:t>
            </w:r>
          </w:p>
        </w:tc>
      </w:tr>
      <w:tr w:rsidR="00B21741" w:rsidRPr="004A587B" w14:paraId="264C5DBC" w14:textId="77777777" w:rsidTr="00861EC1">
        <w:trPr>
          <w:trHeight w:val="300"/>
        </w:trPr>
        <w:tc>
          <w:tcPr>
            <w:tcW w:w="1606" w:type="dxa"/>
            <w:vMerge/>
            <w:hideMark/>
          </w:tcPr>
          <w:p w14:paraId="6098AE55" w14:textId="77777777" w:rsidR="00B21741" w:rsidRPr="004A587B" w:rsidRDefault="00B21741" w:rsidP="00861EC1"/>
        </w:tc>
        <w:tc>
          <w:tcPr>
            <w:tcW w:w="1751" w:type="dxa"/>
            <w:vMerge/>
            <w:hideMark/>
          </w:tcPr>
          <w:p w14:paraId="5C64E4D8" w14:textId="77777777" w:rsidR="00B21741" w:rsidRPr="004A587B" w:rsidRDefault="00B21741" w:rsidP="00861EC1"/>
        </w:tc>
        <w:tc>
          <w:tcPr>
            <w:tcW w:w="2494" w:type="dxa"/>
            <w:noWrap/>
            <w:hideMark/>
          </w:tcPr>
          <w:p w14:paraId="25AC16E0" w14:textId="77777777" w:rsidR="00B21741" w:rsidRPr="004A587B" w:rsidRDefault="00B21741" w:rsidP="00861EC1">
            <w:r w:rsidRPr="004A587B">
              <w:t>GASSANE DIABEL</w:t>
            </w:r>
          </w:p>
        </w:tc>
        <w:tc>
          <w:tcPr>
            <w:tcW w:w="2508" w:type="dxa"/>
            <w:noWrap/>
            <w:hideMark/>
          </w:tcPr>
          <w:p w14:paraId="55F65223" w14:textId="77777777" w:rsidR="00B21741" w:rsidRPr="004A587B" w:rsidRDefault="00B21741" w:rsidP="00861EC1">
            <w:r w:rsidRPr="004A587B">
              <w:t>H1 TOUBA BAGDAD</w:t>
            </w:r>
          </w:p>
        </w:tc>
        <w:tc>
          <w:tcPr>
            <w:tcW w:w="1552" w:type="dxa"/>
            <w:noWrap/>
            <w:hideMark/>
          </w:tcPr>
          <w:p w14:paraId="65B9DC7C" w14:textId="77777777" w:rsidR="00B21741" w:rsidRPr="004A587B" w:rsidRDefault="00B21741" w:rsidP="00861EC1">
            <w:r w:rsidRPr="004A587B">
              <w:t>2</w:t>
            </w:r>
          </w:p>
        </w:tc>
      </w:tr>
      <w:tr w:rsidR="00B21741" w:rsidRPr="004A587B" w14:paraId="5423DE48" w14:textId="77777777" w:rsidTr="00861EC1">
        <w:trPr>
          <w:trHeight w:val="300"/>
        </w:trPr>
        <w:tc>
          <w:tcPr>
            <w:tcW w:w="1606" w:type="dxa"/>
            <w:vMerge/>
            <w:hideMark/>
          </w:tcPr>
          <w:p w14:paraId="5AB4C339" w14:textId="77777777" w:rsidR="00B21741" w:rsidRPr="004A587B" w:rsidRDefault="00B21741" w:rsidP="00861EC1"/>
        </w:tc>
        <w:tc>
          <w:tcPr>
            <w:tcW w:w="1751" w:type="dxa"/>
            <w:vMerge/>
            <w:hideMark/>
          </w:tcPr>
          <w:p w14:paraId="63B237F3" w14:textId="77777777" w:rsidR="00B21741" w:rsidRPr="004A587B" w:rsidRDefault="00B21741" w:rsidP="00861EC1"/>
        </w:tc>
        <w:tc>
          <w:tcPr>
            <w:tcW w:w="2494" w:type="dxa"/>
            <w:noWrap/>
            <w:hideMark/>
          </w:tcPr>
          <w:p w14:paraId="471941BD" w14:textId="77777777" w:rsidR="00B21741" w:rsidRPr="004A587B" w:rsidRDefault="00B21741" w:rsidP="00861EC1">
            <w:r w:rsidRPr="004A587B">
              <w:t>SIBOLE OUOLOF</w:t>
            </w:r>
          </w:p>
        </w:tc>
        <w:tc>
          <w:tcPr>
            <w:tcW w:w="2508" w:type="dxa"/>
            <w:noWrap/>
            <w:hideMark/>
          </w:tcPr>
          <w:p w14:paraId="2EFBCF0C" w14:textId="77777777" w:rsidR="00B21741" w:rsidRPr="004A587B" w:rsidRDefault="00B21741" w:rsidP="00861EC1">
            <w:r w:rsidRPr="004A587B">
              <w:t>GASSANE SAMBE</w:t>
            </w:r>
          </w:p>
        </w:tc>
        <w:tc>
          <w:tcPr>
            <w:tcW w:w="1552" w:type="dxa"/>
            <w:noWrap/>
            <w:hideMark/>
          </w:tcPr>
          <w:p w14:paraId="0D42BB9B" w14:textId="77777777" w:rsidR="00B21741" w:rsidRPr="004A587B" w:rsidRDefault="00B21741" w:rsidP="00861EC1">
            <w:r w:rsidRPr="004A587B">
              <w:t>3</w:t>
            </w:r>
          </w:p>
        </w:tc>
      </w:tr>
      <w:tr w:rsidR="00B21741" w:rsidRPr="004A587B" w14:paraId="080F3B2C" w14:textId="77777777" w:rsidTr="00861EC1">
        <w:trPr>
          <w:trHeight w:val="300"/>
        </w:trPr>
        <w:tc>
          <w:tcPr>
            <w:tcW w:w="1606" w:type="dxa"/>
            <w:vMerge/>
            <w:hideMark/>
          </w:tcPr>
          <w:p w14:paraId="7F135A1A" w14:textId="77777777" w:rsidR="00B21741" w:rsidRPr="004A587B" w:rsidRDefault="00B21741" w:rsidP="00861EC1"/>
        </w:tc>
        <w:tc>
          <w:tcPr>
            <w:tcW w:w="1751" w:type="dxa"/>
            <w:vMerge/>
            <w:hideMark/>
          </w:tcPr>
          <w:p w14:paraId="24749181" w14:textId="77777777" w:rsidR="00B21741" w:rsidRPr="004A587B" w:rsidRDefault="00B21741" w:rsidP="00861EC1"/>
        </w:tc>
        <w:tc>
          <w:tcPr>
            <w:tcW w:w="2494" w:type="dxa"/>
            <w:noWrap/>
            <w:hideMark/>
          </w:tcPr>
          <w:p w14:paraId="26FED7A8" w14:textId="77777777" w:rsidR="00B21741" w:rsidRPr="004A587B" w:rsidRDefault="00B21741" w:rsidP="00861EC1">
            <w:r w:rsidRPr="004A587B">
              <w:t>TOUBA KHAIRA</w:t>
            </w:r>
          </w:p>
        </w:tc>
        <w:tc>
          <w:tcPr>
            <w:tcW w:w="2508" w:type="dxa"/>
            <w:noWrap/>
            <w:hideMark/>
          </w:tcPr>
          <w:p w14:paraId="19A4210C" w14:textId="77777777" w:rsidR="00B21741" w:rsidRPr="004A587B" w:rsidRDefault="00B21741" w:rsidP="00861EC1">
            <w:r w:rsidRPr="004A587B">
              <w:t>BELTATY PEULH</w:t>
            </w:r>
          </w:p>
        </w:tc>
        <w:tc>
          <w:tcPr>
            <w:tcW w:w="1552" w:type="dxa"/>
            <w:noWrap/>
            <w:hideMark/>
          </w:tcPr>
          <w:p w14:paraId="48949B1B" w14:textId="77777777" w:rsidR="00B21741" w:rsidRPr="004A587B" w:rsidRDefault="00B21741" w:rsidP="00861EC1">
            <w:r w:rsidRPr="004A587B">
              <w:t>4</w:t>
            </w:r>
          </w:p>
        </w:tc>
      </w:tr>
      <w:tr w:rsidR="00B21741" w:rsidRPr="004A587B" w14:paraId="466159E5" w14:textId="77777777" w:rsidTr="00861EC1">
        <w:trPr>
          <w:trHeight w:val="300"/>
        </w:trPr>
        <w:tc>
          <w:tcPr>
            <w:tcW w:w="1606" w:type="dxa"/>
            <w:vMerge/>
            <w:hideMark/>
          </w:tcPr>
          <w:p w14:paraId="4B5DAABA" w14:textId="77777777" w:rsidR="00B21741" w:rsidRPr="004A587B" w:rsidRDefault="00B21741" w:rsidP="00861EC1"/>
        </w:tc>
        <w:tc>
          <w:tcPr>
            <w:tcW w:w="1751" w:type="dxa"/>
            <w:vMerge w:val="restart"/>
            <w:noWrap/>
            <w:hideMark/>
          </w:tcPr>
          <w:p w14:paraId="636B6DB2" w14:textId="77777777" w:rsidR="00B21741" w:rsidRPr="004A587B" w:rsidRDefault="00B21741" w:rsidP="00861EC1">
            <w:r w:rsidRPr="004A587B">
              <w:t>OUARKHOH</w:t>
            </w:r>
          </w:p>
        </w:tc>
        <w:tc>
          <w:tcPr>
            <w:tcW w:w="2494" w:type="dxa"/>
            <w:noWrap/>
            <w:hideMark/>
          </w:tcPr>
          <w:p w14:paraId="2B5C347C" w14:textId="77777777" w:rsidR="00B21741" w:rsidRPr="004A587B" w:rsidRDefault="00B21741" w:rsidP="00861EC1">
            <w:r w:rsidRPr="004A587B">
              <w:t>LOUMBI RUBISSENE (FORAGE I)</w:t>
            </w:r>
          </w:p>
        </w:tc>
        <w:tc>
          <w:tcPr>
            <w:tcW w:w="2508" w:type="dxa"/>
            <w:noWrap/>
            <w:hideMark/>
          </w:tcPr>
          <w:p w14:paraId="0B564554" w14:textId="77777777" w:rsidR="00B21741" w:rsidRPr="004A587B" w:rsidRDefault="00B21741" w:rsidP="00861EC1">
            <w:r w:rsidRPr="004A587B">
              <w:t>DICK DIAWBE</w:t>
            </w:r>
          </w:p>
        </w:tc>
        <w:tc>
          <w:tcPr>
            <w:tcW w:w="1552" w:type="dxa"/>
            <w:noWrap/>
            <w:hideMark/>
          </w:tcPr>
          <w:p w14:paraId="07AE578C" w14:textId="77777777" w:rsidR="00B21741" w:rsidRPr="004A587B" w:rsidRDefault="00B21741" w:rsidP="00861EC1">
            <w:r w:rsidRPr="004A587B">
              <w:t>1</w:t>
            </w:r>
          </w:p>
        </w:tc>
      </w:tr>
      <w:tr w:rsidR="00B21741" w:rsidRPr="004A587B" w14:paraId="7CF31010" w14:textId="77777777" w:rsidTr="00861EC1">
        <w:trPr>
          <w:trHeight w:val="300"/>
        </w:trPr>
        <w:tc>
          <w:tcPr>
            <w:tcW w:w="1606" w:type="dxa"/>
            <w:vMerge/>
            <w:hideMark/>
          </w:tcPr>
          <w:p w14:paraId="1FC27D56" w14:textId="77777777" w:rsidR="00B21741" w:rsidRPr="004A587B" w:rsidRDefault="00B21741" w:rsidP="00861EC1"/>
        </w:tc>
        <w:tc>
          <w:tcPr>
            <w:tcW w:w="1751" w:type="dxa"/>
            <w:vMerge/>
            <w:hideMark/>
          </w:tcPr>
          <w:p w14:paraId="034F093D" w14:textId="77777777" w:rsidR="00B21741" w:rsidRPr="004A587B" w:rsidRDefault="00B21741" w:rsidP="00861EC1"/>
        </w:tc>
        <w:tc>
          <w:tcPr>
            <w:tcW w:w="2494" w:type="dxa"/>
            <w:noWrap/>
            <w:hideMark/>
          </w:tcPr>
          <w:p w14:paraId="0A221718" w14:textId="77777777" w:rsidR="00B21741" w:rsidRPr="004A587B" w:rsidRDefault="00B21741" w:rsidP="00861EC1">
            <w:r w:rsidRPr="004A587B">
              <w:t>MBAYE TALLY</w:t>
            </w:r>
          </w:p>
        </w:tc>
        <w:tc>
          <w:tcPr>
            <w:tcW w:w="2508" w:type="dxa"/>
            <w:noWrap/>
            <w:hideMark/>
          </w:tcPr>
          <w:p w14:paraId="58DCB475" w14:textId="77777777" w:rsidR="00B21741" w:rsidRPr="004A587B" w:rsidRDefault="00B21741" w:rsidP="00861EC1">
            <w:r w:rsidRPr="004A587B">
              <w:t>NGARAFF</w:t>
            </w:r>
          </w:p>
        </w:tc>
        <w:tc>
          <w:tcPr>
            <w:tcW w:w="1552" w:type="dxa"/>
            <w:noWrap/>
            <w:hideMark/>
          </w:tcPr>
          <w:p w14:paraId="2603DAF1" w14:textId="77777777" w:rsidR="00B21741" w:rsidRPr="004A587B" w:rsidRDefault="00B21741" w:rsidP="00861EC1">
            <w:r w:rsidRPr="004A587B">
              <w:t>2</w:t>
            </w:r>
          </w:p>
        </w:tc>
      </w:tr>
      <w:tr w:rsidR="00B21741" w:rsidRPr="004A587B" w14:paraId="20C19ECF" w14:textId="77777777" w:rsidTr="00861EC1">
        <w:trPr>
          <w:trHeight w:val="300"/>
        </w:trPr>
        <w:tc>
          <w:tcPr>
            <w:tcW w:w="1606" w:type="dxa"/>
            <w:vMerge/>
            <w:hideMark/>
          </w:tcPr>
          <w:p w14:paraId="13BC1EB7" w14:textId="77777777" w:rsidR="00B21741" w:rsidRPr="004A587B" w:rsidRDefault="00B21741" w:rsidP="00861EC1"/>
        </w:tc>
        <w:tc>
          <w:tcPr>
            <w:tcW w:w="1751" w:type="dxa"/>
            <w:vMerge/>
            <w:hideMark/>
          </w:tcPr>
          <w:p w14:paraId="32F31159" w14:textId="77777777" w:rsidR="00B21741" w:rsidRPr="004A587B" w:rsidRDefault="00B21741" w:rsidP="00861EC1"/>
        </w:tc>
        <w:tc>
          <w:tcPr>
            <w:tcW w:w="2494" w:type="dxa"/>
            <w:noWrap/>
            <w:hideMark/>
          </w:tcPr>
          <w:p w14:paraId="31ED4605" w14:textId="77777777" w:rsidR="00B21741" w:rsidRPr="004A587B" w:rsidRDefault="00B21741" w:rsidP="00861EC1">
            <w:r w:rsidRPr="004A587B">
              <w:t>NDADANE RUBISSENE</w:t>
            </w:r>
          </w:p>
        </w:tc>
        <w:tc>
          <w:tcPr>
            <w:tcW w:w="2508" w:type="dxa"/>
            <w:noWrap/>
            <w:hideMark/>
          </w:tcPr>
          <w:p w14:paraId="76A3FA9D" w14:textId="77777777" w:rsidR="00B21741" w:rsidRPr="004A587B" w:rsidRDefault="00B21741" w:rsidP="00861EC1">
            <w:r w:rsidRPr="004A587B">
              <w:t>NDIA NGONDIAL</w:t>
            </w:r>
          </w:p>
        </w:tc>
        <w:tc>
          <w:tcPr>
            <w:tcW w:w="1552" w:type="dxa"/>
            <w:noWrap/>
            <w:hideMark/>
          </w:tcPr>
          <w:p w14:paraId="0BD26036" w14:textId="77777777" w:rsidR="00B21741" w:rsidRPr="004A587B" w:rsidRDefault="00B21741" w:rsidP="00861EC1">
            <w:r w:rsidRPr="004A587B">
              <w:t>3</w:t>
            </w:r>
          </w:p>
        </w:tc>
      </w:tr>
      <w:tr w:rsidR="00B21741" w:rsidRPr="004A587B" w14:paraId="675F9C8E" w14:textId="77777777" w:rsidTr="00861EC1">
        <w:trPr>
          <w:trHeight w:val="300"/>
        </w:trPr>
        <w:tc>
          <w:tcPr>
            <w:tcW w:w="1606" w:type="dxa"/>
            <w:vMerge/>
            <w:hideMark/>
          </w:tcPr>
          <w:p w14:paraId="3EF61E9A" w14:textId="77777777" w:rsidR="00B21741" w:rsidRPr="004A587B" w:rsidRDefault="00B21741" w:rsidP="00861EC1"/>
        </w:tc>
        <w:tc>
          <w:tcPr>
            <w:tcW w:w="1751" w:type="dxa"/>
            <w:vMerge/>
            <w:hideMark/>
          </w:tcPr>
          <w:p w14:paraId="0300C4A7" w14:textId="77777777" w:rsidR="00B21741" w:rsidRPr="004A587B" w:rsidRDefault="00B21741" w:rsidP="00861EC1"/>
        </w:tc>
        <w:tc>
          <w:tcPr>
            <w:tcW w:w="2494" w:type="dxa"/>
            <w:noWrap/>
            <w:hideMark/>
          </w:tcPr>
          <w:p w14:paraId="4F84F1D1" w14:textId="77777777" w:rsidR="00B21741" w:rsidRPr="004A587B" w:rsidRDefault="00B21741" w:rsidP="00861EC1">
            <w:r w:rsidRPr="004A587B">
              <w:t>NIOKHOUL I</w:t>
            </w:r>
          </w:p>
        </w:tc>
        <w:tc>
          <w:tcPr>
            <w:tcW w:w="2508" w:type="dxa"/>
            <w:noWrap/>
            <w:hideMark/>
          </w:tcPr>
          <w:p w14:paraId="3A3DACC8" w14:textId="77777777" w:rsidR="00B21741" w:rsidRPr="004A587B" w:rsidRDefault="00B21741" w:rsidP="00861EC1">
            <w:r w:rsidRPr="004A587B">
              <w:t>NGOUROU</w:t>
            </w:r>
          </w:p>
        </w:tc>
        <w:tc>
          <w:tcPr>
            <w:tcW w:w="1552" w:type="dxa"/>
            <w:noWrap/>
            <w:hideMark/>
          </w:tcPr>
          <w:p w14:paraId="6B1A3491" w14:textId="77777777" w:rsidR="00B21741" w:rsidRPr="004A587B" w:rsidRDefault="00B21741" w:rsidP="00861EC1">
            <w:r w:rsidRPr="004A587B">
              <w:t>4</w:t>
            </w:r>
          </w:p>
        </w:tc>
      </w:tr>
      <w:tr w:rsidR="00B21741" w:rsidRPr="004A587B" w14:paraId="64A2176E" w14:textId="77777777" w:rsidTr="00861EC1">
        <w:trPr>
          <w:trHeight w:val="300"/>
        </w:trPr>
        <w:tc>
          <w:tcPr>
            <w:tcW w:w="1606" w:type="dxa"/>
            <w:vMerge/>
            <w:hideMark/>
          </w:tcPr>
          <w:p w14:paraId="5A05D36B" w14:textId="77777777" w:rsidR="00B21741" w:rsidRPr="004A587B" w:rsidRDefault="00B21741" w:rsidP="00861EC1"/>
        </w:tc>
        <w:tc>
          <w:tcPr>
            <w:tcW w:w="1751" w:type="dxa"/>
            <w:vMerge w:val="restart"/>
            <w:noWrap/>
            <w:hideMark/>
          </w:tcPr>
          <w:p w14:paraId="2C8C95ED" w14:textId="77777777" w:rsidR="00B21741" w:rsidRPr="004A587B" w:rsidRDefault="00B21741" w:rsidP="00861EC1">
            <w:r w:rsidRPr="004A587B">
              <w:t>THIARGNY</w:t>
            </w:r>
          </w:p>
        </w:tc>
        <w:tc>
          <w:tcPr>
            <w:tcW w:w="2494" w:type="dxa"/>
            <w:noWrap/>
            <w:hideMark/>
          </w:tcPr>
          <w:p w14:paraId="286067B6" w14:textId="77777777" w:rsidR="00B21741" w:rsidRPr="004A587B" w:rsidRDefault="00B21741" w:rsidP="00861EC1">
            <w:r w:rsidRPr="004A587B">
              <w:t xml:space="preserve">MARO </w:t>
            </w:r>
            <w:proofErr w:type="spellStart"/>
            <w:r w:rsidRPr="004A587B">
              <w:t>MARO</w:t>
            </w:r>
            <w:proofErr w:type="spellEnd"/>
          </w:p>
        </w:tc>
        <w:tc>
          <w:tcPr>
            <w:tcW w:w="2508" w:type="dxa"/>
            <w:noWrap/>
            <w:hideMark/>
          </w:tcPr>
          <w:p w14:paraId="157776F4" w14:textId="77777777" w:rsidR="00B21741" w:rsidRPr="004A587B" w:rsidRDefault="00B21741" w:rsidP="00861EC1">
            <w:r w:rsidRPr="004A587B">
              <w:t>LINDE NDIALALE (VELINGARA)</w:t>
            </w:r>
          </w:p>
        </w:tc>
        <w:tc>
          <w:tcPr>
            <w:tcW w:w="1552" w:type="dxa"/>
            <w:noWrap/>
            <w:hideMark/>
          </w:tcPr>
          <w:p w14:paraId="231B2D35" w14:textId="77777777" w:rsidR="00B21741" w:rsidRPr="004A587B" w:rsidRDefault="00B21741" w:rsidP="00861EC1">
            <w:r w:rsidRPr="004A587B">
              <w:t>1</w:t>
            </w:r>
          </w:p>
        </w:tc>
      </w:tr>
      <w:tr w:rsidR="00B21741" w:rsidRPr="004A587B" w14:paraId="5CC1348F" w14:textId="77777777" w:rsidTr="00861EC1">
        <w:trPr>
          <w:trHeight w:val="300"/>
        </w:trPr>
        <w:tc>
          <w:tcPr>
            <w:tcW w:w="1606" w:type="dxa"/>
            <w:vMerge/>
            <w:hideMark/>
          </w:tcPr>
          <w:p w14:paraId="3969B43F" w14:textId="77777777" w:rsidR="00B21741" w:rsidRPr="004A587B" w:rsidRDefault="00B21741" w:rsidP="00861EC1"/>
        </w:tc>
        <w:tc>
          <w:tcPr>
            <w:tcW w:w="1751" w:type="dxa"/>
            <w:vMerge/>
            <w:hideMark/>
          </w:tcPr>
          <w:p w14:paraId="2734B433" w14:textId="77777777" w:rsidR="00B21741" w:rsidRPr="004A587B" w:rsidRDefault="00B21741" w:rsidP="00861EC1"/>
        </w:tc>
        <w:tc>
          <w:tcPr>
            <w:tcW w:w="2494" w:type="dxa"/>
            <w:noWrap/>
            <w:hideMark/>
          </w:tcPr>
          <w:p w14:paraId="2BF1BDCE" w14:textId="77777777" w:rsidR="00B21741" w:rsidRPr="004A587B" w:rsidRDefault="00B21741" w:rsidP="00861EC1">
            <w:r w:rsidRPr="004A587B">
              <w:t>ONDOU GUELY</w:t>
            </w:r>
          </w:p>
        </w:tc>
        <w:tc>
          <w:tcPr>
            <w:tcW w:w="2508" w:type="dxa"/>
            <w:noWrap/>
            <w:hideMark/>
          </w:tcPr>
          <w:p w14:paraId="740B40EE" w14:textId="77777777" w:rsidR="00B21741" w:rsidRPr="004A587B" w:rsidRDefault="00B21741" w:rsidP="00861EC1">
            <w:r w:rsidRPr="004A587B">
              <w:t>H1 MBEDA</w:t>
            </w:r>
          </w:p>
        </w:tc>
        <w:tc>
          <w:tcPr>
            <w:tcW w:w="1552" w:type="dxa"/>
            <w:noWrap/>
            <w:hideMark/>
          </w:tcPr>
          <w:p w14:paraId="6EC6D408" w14:textId="77777777" w:rsidR="00B21741" w:rsidRPr="004A587B" w:rsidRDefault="00B21741" w:rsidP="00861EC1">
            <w:r w:rsidRPr="004A587B">
              <w:t>2</w:t>
            </w:r>
          </w:p>
        </w:tc>
      </w:tr>
      <w:tr w:rsidR="00B21741" w:rsidRPr="004A587B" w14:paraId="18A8E7A3" w14:textId="77777777" w:rsidTr="00861EC1">
        <w:trPr>
          <w:trHeight w:val="300"/>
        </w:trPr>
        <w:tc>
          <w:tcPr>
            <w:tcW w:w="1606" w:type="dxa"/>
            <w:vMerge/>
            <w:hideMark/>
          </w:tcPr>
          <w:p w14:paraId="7B0A4350" w14:textId="77777777" w:rsidR="00B21741" w:rsidRPr="004A587B" w:rsidRDefault="00B21741" w:rsidP="00861EC1"/>
        </w:tc>
        <w:tc>
          <w:tcPr>
            <w:tcW w:w="1751" w:type="dxa"/>
            <w:vMerge/>
            <w:hideMark/>
          </w:tcPr>
          <w:p w14:paraId="53C54D72" w14:textId="77777777" w:rsidR="00B21741" w:rsidRPr="004A587B" w:rsidRDefault="00B21741" w:rsidP="00861EC1"/>
        </w:tc>
        <w:tc>
          <w:tcPr>
            <w:tcW w:w="2494" w:type="dxa"/>
            <w:noWrap/>
            <w:hideMark/>
          </w:tcPr>
          <w:p w14:paraId="5338F225" w14:textId="77777777" w:rsidR="00B21741" w:rsidRPr="004A587B" w:rsidRDefault="00B21741" w:rsidP="00861EC1">
            <w:r w:rsidRPr="004A587B">
              <w:t>ROUMDE THIARGNY</w:t>
            </w:r>
          </w:p>
        </w:tc>
        <w:tc>
          <w:tcPr>
            <w:tcW w:w="2508" w:type="dxa"/>
            <w:noWrap/>
            <w:hideMark/>
          </w:tcPr>
          <w:p w14:paraId="4AAE4637" w14:textId="77777777" w:rsidR="00B21741" w:rsidRPr="004A587B" w:rsidRDefault="00B21741" w:rsidP="00861EC1">
            <w:r w:rsidRPr="004A587B">
              <w:t xml:space="preserve">H1 SIRA </w:t>
            </w:r>
            <w:proofErr w:type="spellStart"/>
            <w:r w:rsidRPr="004A587B">
              <w:t>SIRA</w:t>
            </w:r>
            <w:proofErr w:type="spellEnd"/>
          </w:p>
        </w:tc>
        <w:tc>
          <w:tcPr>
            <w:tcW w:w="1552" w:type="dxa"/>
            <w:noWrap/>
            <w:hideMark/>
          </w:tcPr>
          <w:p w14:paraId="1AC87E7B" w14:textId="77777777" w:rsidR="00B21741" w:rsidRPr="004A587B" w:rsidRDefault="00B21741" w:rsidP="00861EC1">
            <w:r w:rsidRPr="004A587B">
              <w:t>3</w:t>
            </w:r>
          </w:p>
        </w:tc>
      </w:tr>
      <w:tr w:rsidR="00B21741" w:rsidRPr="004A587B" w14:paraId="3CAEC33E" w14:textId="77777777" w:rsidTr="00861EC1">
        <w:trPr>
          <w:trHeight w:val="300"/>
        </w:trPr>
        <w:tc>
          <w:tcPr>
            <w:tcW w:w="1606" w:type="dxa"/>
            <w:vMerge/>
            <w:hideMark/>
          </w:tcPr>
          <w:p w14:paraId="22CB1F79" w14:textId="77777777" w:rsidR="00B21741" w:rsidRPr="004A587B" w:rsidRDefault="00B21741" w:rsidP="00861EC1"/>
        </w:tc>
        <w:tc>
          <w:tcPr>
            <w:tcW w:w="1751" w:type="dxa"/>
            <w:vMerge/>
            <w:hideMark/>
          </w:tcPr>
          <w:p w14:paraId="658334D4" w14:textId="77777777" w:rsidR="00B21741" w:rsidRPr="004A587B" w:rsidRDefault="00B21741" w:rsidP="00861EC1"/>
        </w:tc>
        <w:tc>
          <w:tcPr>
            <w:tcW w:w="2494" w:type="dxa"/>
            <w:noWrap/>
            <w:hideMark/>
          </w:tcPr>
          <w:p w14:paraId="758E9AFB" w14:textId="77777777" w:rsidR="00B21741" w:rsidRPr="004A587B" w:rsidRDefault="00B21741" w:rsidP="00861EC1">
            <w:r w:rsidRPr="004A587B">
              <w:t xml:space="preserve">VIS </w:t>
            </w:r>
            <w:proofErr w:type="spellStart"/>
            <w:r w:rsidRPr="004A587B">
              <w:t>VIS</w:t>
            </w:r>
            <w:proofErr w:type="spellEnd"/>
            <w:r w:rsidRPr="004A587B">
              <w:t xml:space="preserve"> II</w:t>
            </w:r>
          </w:p>
        </w:tc>
        <w:tc>
          <w:tcPr>
            <w:tcW w:w="2508" w:type="dxa"/>
            <w:noWrap/>
            <w:hideMark/>
          </w:tcPr>
          <w:p w14:paraId="7ADC7396" w14:textId="77777777" w:rsidR="00B21741" w:rsidRPr="004A587B" w:rsidRDefault="00B21741" w:rsidP="00861EC1">
            <w:r w:rsidRPr="004A587B">
              <w:t>WENDOU SENO IV</w:t>
            </w:r>
          </w:p>
        </w:tc>
        <w:tc>
          <w:tcPr>
            <w:tcW w:w="1552" w:type="dxa"/>
            <w:noWrap/>
            <w:hideMark/>
          </w:tcPr>
          <w:p w14:paraId="764B2A9D" w14:textId="77777777" w:rsidR="00B21741" w:rsidRPr="004A587B" w:rsidRDefault="00B21741" w:rsidP="00861EC1">
            <w:r w:rsidRPr="004A587B">
              <w:t>4</w:t>
            </w:r>
          </w:p>
        </w:tc>
      </w:tr>
      <w:tr w:rsidR="00B21741" w:rsidRPr="004A587B" w14:paraId="170175D5" w14:textId="77777777" w:rsidTr="00861EC1">
        <w:trPr>
          <w:trHeight w:val="300"/>
        </w:trPr>
        <w:tc>
          <w:tcPr>
            <w:tcW w:w="1606" w:type="dxa"/>
            <w:vMerge/>
            <w:hideMark/>
          </w:tcPr>
          <w:p w14:paraId="17850541" w14:textId="77777777" w:rsidR="00B21741" w:rsidRPr="004A587B" w:rsidRDefault="00B21741" w:rsidP="00861EC1"/>
        </w:tc>
        <w:tc>
          <w:tcPr>
            <w:tcW w:w="1751" w:type="dxa"/>
            <w:vMerge w:val="restart"/>
            <w:noWrap/>
            <w:hideMark/>
          </w:tcPr>
          <w:p w14:paraId="65275F62" w14:textId="77777777" w:rsidR="00B21741" w:rsidRPr="004A587B" w:rsidRDefault="00B21741" w:rsidP="00861EC1">
            <w:r w:rsidRPr="004A587B">
              <w:t xml:space="preserve">YANG </w:t>
            </w:r>
            <w:proofErr w:type="spellStart"/>
            <w:r w:rsidRPr="004A587B">
              <w:t>YANG</w:t>
            </w:r>
            <w:proofErr w:type="spellEnd"/>
          </w:p>
        </w:tc>
        <w:tc>
          <w:tcPr>
            <w:tcW w:w="2494" w:type="dxa"/>
            <w:noWrap/>
            <w:hideMark/>
          </w:tcPr>
          <w:p w14:paraId="32832B76" w14:textId="77777777" w:rsidR="00B21741" w:rsidRPr="004A587B" w:rsidRDefault="00B21741" w:rsidP="00861EC1">
            <w:r w:rsidRPr="004A587B">
              <w:t>H1 MBAMBA</w:t>
            </w:r>
          </w:p>
        </w:tc>
        <w:tc>
          <w:tcPr>
            <w:tcW w:w="2508" w:type="dxa"/>
            <w:noWrap/>
            <w:hideMark/>
          </w:tcPr>
          <w:p w14:paraId="6D27272E" w14:textId="77777777" w:rsidR="00B21741" w:rsidRPr="004A587B" w:rsidRDefault="00B21741" w:rsidP="00861EC1">
            <w:r w:rsidRPr="004A587B">
              <w:t>NDALLA AIRANCOBE</w:t>
            </w:r>
          </w:p>
        </w:tc>
        <w:tc>
          <w:tcPr>
            <w:tcW w:w="1552" w:type="dxa"/>
            <w:noWrap/>
            <w:hideMark/>
          </w:tcPr>
          <w:p w14:paraId="1216FD56" w14:textId="77777777" w:rsidR="00B21741" w:rsidRPr="004A587B" w:rsidRDefault="00B21741" w:rsidP="00861EC1">
            <w:r w:rsidRPr="004A587B">
              <w:t>1</w:t>
            </w:r>
          </w:p>
        </w:tc>
      </w:tr>
      <w:tr w:rsidR="00B21741" w:rsidRPr="004A587B" w14:paraId="26A2ECD4" w14:textId="77777777" w:rsidTr="00861EC1">
        <w:trPr>
          <w:trHeight w:val="300"/>
        </w:trPr>
        <w:tc>
          <w:tcPr>
            <w:tcW w:w="1606" w:type="dxa"/>
            <w:vMerge/>
            <w:hideMark/>
          </w:tcPr>
          <w:p w14:paraId="2E121897" w14:textId="77777777" w:rsidR="00B21741" w:rsidRPr="004A587B" w:rsidRDefault="00B21741" w:rsidP="00861EC1"/>
        </w:tc>
        <w:tc>
          <w:tcPr>
            <w:tcW w:w="1751" w:type="dxa"/>
            <w:vMerge/>
            <w:hideMark/>
          </w:tcPr>
          <w:p w14:paraId="074612C7" w14:textId="77777777" w:rsidR="00B21741" w:rsidRPr="004A587B" w:rsidRDefault="00B21741" w:rsidP="00861EC1"/>
        </w:tc>
        <w:tc>
          <w:tcPr>
            <w:tcW w:w="2494" w:type="dxa"/>
            <w:noWrap/>
            <w:hideMark/>
          </w:tcPr>
          <w:p w14:paraId="264B1F6E" w14:textId="77777777" w:rsidR="00B21741" w:rsidRPr="004A587B" w:rsidRDefault="00B21741" w:rsidP="00861EC1">
            <w:r w:rsidRPr="004A587B">
              <w:t>H1 NDIANE PEULH</w:t>
            </w:r>
          </w:p>
        </w:tc>
        <w:tc>
          <w:tcPr>
            <w:tcW w:w="2508" w:type="dxa"/>
            <w:noWrap/>
            <w:hideMark/>
          </w:tcPr>
          <w:p w14:paraId="2B018F36" w14:textId="77777777" w:rsidR="00B21741" w:rsidRPr="004A587B" w:rsidRDefault="00B21741" w:rsidP="00861EC1">
            <w:r w:rsidRPr="004A587B">
              <w:t xml:space="preserve">YANG </w:t>
            </w:r>
            <w:proofErr w:type="spellStart"/>
            <w:r w:rsidRPr="004A587B">
              <w:t>YANG</w:t>
            </w:r>
            <w:proofErr w:type="spellEnd"/>
          </w:p>
        </w:tc>
        <w:tc>
          <w:tcPr>
            <w:tcW w:w="1552" w:type="dxa"/>
            <w:noWrap/>
            <w:hideMark/>
          </w:tcPr>
          <w:p w14:paraId="75DFD2B2" w14:textId="77777777" w:rsidR="00B21741" w:rsidRPr="004A587B" w:rsidRDefault="00B21741" w:rsidP="00861EC1">
            <w:r w:rsidRPr="004A587B">
              <w:t>2</w:t>
            </w:r>
          </w:p>
        </w:tc>
      </w:tr>
      <w:tr w:rsidR="00B21741" w:rsidRPr="004A587B" w14:paraId="5F36F1E0" w14:textId="77777777" w:rsidTr="00861EC1">
        <w:trPr>
          <w:trHeight w:val="300"/>
        </w:trPr>
        <w:tc>
          <w:tcPr>
            <w:tcW w:w="1606" w:type="dxa"/>
            <w:vMerge/>
            <w:hideMark/>
          </w:tcPr>
          <w:p w14:paraId="536445B9" w14:textId="77777777" w:rsidR="00B21741" w:rsidRPr="004A587B" w:rsidRDefault="00B21741" w:rsidP="00861EC1"/>
        </w:tc>
        <w:tc>
          <w:tcPr>
            <w:tcW w:w="1751" w:type="dxa"/>
            <w:vMerge/>
            <w:hideMark/>
          </w:tcPr>
          <w:p w14:paraId="48D3B9B3" w14:textId="77777777" w:rsidR="00B21741" w:rsidRPr="004A587B" w:rsidRDefault="00B21741" w:rsidP="00861EC1"/>
        </w:tc>
        <w:tc>
          <w:tcPr>
            <w:tcW w:w="2494" w:type="dxa"/>
            <w:noWrap/>
            <w:hideMark/>
          </w:tcPr>
          <w:p w14:paraId="7D87ECA7" w14:textId="77777777" w:rsidR="00B21741" w:rsidRPr="004A587B" w:rsidRDefault="00B21741" w:rsidP="00861EC1">
            <w:r w:rsidRPr="004A587B">
              <w:t>MEVELLE MBATHIOR</w:t>
            </w:r>
          </w:p>
        </w:tc>
        <w:tc>
          <w:tcPr>
            <w:tcW w:w="2508" w:type="dxa"/>
            <w:noWrap/>
            <w:hideMark/>
          </w:tcPr>
          <w:p w14:paraId="628EC0B2" w14:textId="77777777" w:rsidR="00B21741" w:rsidRPr="004A587B" w:rsidRDefault="00B21741" w:rsidP="00861EC1">
            <w:r w:rsidRPr="004A587B">
              <w:t>KADD PEULH</w:t>
            </w:r>
          </w:p>
        </w:tc>
        <w:tc>
          <w:tcPr>
            <w:tcW w:w="1552" w:type="dxa"/>
            <w:noWrap/>
            <w:hideMark/>
          </w:tcPr>
          <w:p w14:paraId="19835A96" w14:textId="77777777" w:rsidR="00B21741" w:rsidRPr="004A587B" w:rsidRDefault="00B21741" w:rsidP="00861EC1">
            <w:r w:rsidRPr="004A587B">
              <w:t>3</w:t>
            </w:r>
          </w:p>
        </w:tc>
      </w:tr>
      <w:tr w:rsidR="00B21741" w:rsidRPr="004A587B" w14:paraId="74179897" w14:textId="77777777" w:rsidTr="00861EC1">
        <w:trPr>
          <w:trHeight w:val="300"/>
        </w:trPr>
        <w:tc>
          <w:tcPr>
            <w:tcW w:w="1606" w:type="dxa"/>
            <w:vMerge/>
            <w:hideMark/>
          </w:tcPr>
          <w:p w14:paraId="59E9FFDB" w14:textId="77777777" w:rsidR="00B21741" w:rsidRPr="004A587B" w:rsidRDefault="00B21741" w:rsidP="00861EC1"/>
        </w:tc>
        <w:tc>
          <w:tcPr>
            <w:tcW w:w="1751" w:type="dxa"/>
            <w:vMerge/>
            <w:hideMark/>
          </w:tcPr>
          <w:p w14:paraId="01095A77" w14:textId="77777777" w:rsidR="00B21741" w:rsidRPr="004A587B" w:rsidRDefault="00B21741" w:rsidP="00861EC1"/>
        </w:tc>
        <w:tc>
          <w:tcPr>
            <w:tcW w:w="2494" w:type="dxa"/>
            <w:noWrap/>
            <w:hideMark/>
          </w:tcPr>
          <w:p w14:paraId="5EE03BE7" w14:textId="77777777" w:rsidR="00B21741" w:rsidRPr="004A587B" w:rsidRDefault="00B21741" w:rsidP="00861EC1">
            <w:r w:rsidRPr="004A587B">
              <w:t>NGOUYE DIERY</w:t>
            </w:r>
          </w:p>
        </w:tc>
        <w:tc>
          <w:tcPr>
            <w:tcW w:w="2508" w:type="dxa"/>
            <w:noWrap/>
            <w:hideMark/>
          </w:tcPr>
          <w:p w14:paraId="5B67015B" w14:textId="77777777" w:rsidR="00B21741" w:rsidRPr="004A587B" w:rsidRDefault="00B21741" w:rsidP="00861EC1">
            <w:r w:rsidRPr="004A587B">
              <w:t>KOUR KOLL</w:t>
            </w:r>
          </w:p>
        </w:tc>
        <w:tc>
          <w:tcPr>
            <w:tcW w:w="1552" w:type="dxa"/>
            <w:noWrap/>
            <w:hideMark/>
          </w:tcPr>
          <w:p w14:paraId="19ABEFB4" w14:textId="77777777" w:rsidR="00B21741" w:rsidRPr="004A587B" w:rsidRDefault="00B21741" w:rsidP="00861EC1">
            <w:r w:rsidRPr="004A587B">
              <w:t>4</w:t>
            </w:r>
          </w:p>
        </w:tc>
      </w:tr>
    </w:tbl>
    <w:p w14:paraId="16A74D87" w14:textId="77777777" w:rsidR="005F1702" w:rsidRDefault="005F1702" w:rsidP="005F1702"/>
    <w:p w14:paraId="2B55F322" w14:textId="77777777" w:rsidR="005F1702" w:rsidRPr="005F1702" w:rsidRDefault="005F1702" w:rsidP="005F1702"/>
    <w:p w14:paraId="1B5D36F2" w14:textId="77777777" w:rsidR="00222AE5" w:rsidRPr="00222AE5" w:rsidRDefault="00222AE5" w:rsidP="00222AE5"/>
    <w:sectPr w:rsidR="00222AE5" w:rsidRPr="00222AE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B252CE" w14:textId="77777777" w:rsidR="008339A9" w:rsidRDefault="008339A9" w:rsidP="00F3573A">
      <w:pPr>
        <w:spacing w:after="0" w:line="240" w:lineRule="auto"/>
      </w:pPr>
      <w:r>
        <w:separator/>
      </w:r>
    </w:p>
  </w:endnote>
  <w:endnote w:type="continuationSeparator" w:id="0">
    <w:p w14:paraId="2A4ED135" w14:textId="77777777" w:rsidR="008339A9" w:rsidRDefault="008339A9" w:rsidP="00F35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opperplate Gothic Light">
    <w:panose1 w:val="020E05070202060204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hnschrift SemiBold">
    <w:altName w:val="Segoe UI"/>
    <w:charset w:val="00"/>
    <w:family w:val="swiss"/>
    <w:pitch w:val="variable"/>
    <w:sig w:usb0="A00002C7" w:usb1="00000002"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bottomFromText="200" w:vertAnchor="text" w:tblpY="1"/>
      <w:tblW w:w="5000" w:type="pct"/>
      <w:tblLook w:val="04A0" w:firstRow="1" w:lastRow="0" w:firstColumn="1" w:lastColumn="0" w:noHBand="0" w:noVBand="1"/>
    </w:tblPr>
    <w:tblGrid>
      <w:gridCol w:w="3630"/>
      <w:gridCol w:w="1812"/>
      <w:gridCol w:w="3630"/>
    </w:tblGrid>
    <w:tr w:rsidR="00FA04A9" w14:paraId="26AD2206" w14:textId="77777777" w:rsidTr="00861EC1">
      <w:trPr>
        <w:trHeight w:val="151"/>
      </w:trPr>
      <w:tc>
        <w:tcPr>
          <w:tcW w:w="2250" w:type="pct"/>
          <w:tcBorders>
            <w:top w:val="nil"/>
            <w:left w:val="nil"/>
            <w:bottom w:val="single" w:sz="4" w:space="0" w:color="4F81BD"/>
            <w:right w:val="nil"/>
          </w:tcBorders>
        </w:tcPr>
        <w:p w14:paraId="51907145" w14:textId="77777777" w:rsidR="00FA04A9" w:rsidRPr="00061ECB" w:rsidRDefault="00FA04A9" w:rsidP="00861EC1">
          <w:pPr>
            <w:pStyle w:val="En-tte"/>
            <w:spacing w:line="276" w:lineRule="auto"/>
            <w:rPr>
              <w:rFonts w:eastAsia="MS Gothic"/>
              <w:b/>
              <w:bCs/>
              <w:color w:val="4F81BD"/>
            </w:rPr>
          </w:pPr>
        </w:p>
      </w:tc>
      <w:tc>
        <w:tcPr>
          <w:tcW w:w="500" w:type="pct"/>
          <w:vMerge w:val="restart"/>
          <w:noWrap/>
          <w:vAlign w:val="center"/>
          <w:hideMark/>
        </w:tcPr>
        <w:p w14:paraId="2D564B9E" w14:textId="77777777" w:rsidR="00FA04A9" w:rsidRPr="00061ECB" w:rsidRDefault="00FA04A9" w:rsidP="00861EC1">
          <w:pPr>
            <w:pStyle w:val="Grigliamedia21"/>
            <w:spacing w:line="276" w:lineRule="auto"/>
            <w:rPr>
              <w:rFonts w:ascii="Calibri" w:hAnsi="Calibri"/>
              <w:color w:val="365F91"/>
            </w:rPr>
          </w:pPr>
          <w:r w:rsidRPr="00061ECB">
            <w:rPr>
              <w:rFonts w:ascii="Cambria" w:hAnsi="Cambria"/>
              <w:color w:val="365F91"/>
            </w:rPr>
            <w:t>[Digitare il testo]</w:t>
          </w:r>
        </w:p>
      </w:tc>
      <w:tc>
        <w:tcPr>
          <w:tcW w:w="2250" w:type="pct"/>
          <w:tcBorders>
            <w:top w:val="nil"/>
            <w:left w:val="nil"/>
            <w:bottom w:val="single" w:sz="4" w:space="0" w:color="4F81BD"/>
            <w:right w:val="nil"/>
          </w:tcBorders>
        </w:tcPr>
        <w:p w14:paraId="629FC749" w14:textId="77777777" w:rsidR="00FA04A9" w:rsidRPr="00061ECB" w:rsidRDefault="00FA04A9" w:rsidP="00861EC1">
          <w:pPr>
            <w:pStyle w:val="En-tte"/>
            <w:spacing w:line="276" w:lineRule="auto"/>
            <w:rPr>
              <w:rFonts w:eastAsia="MS Gothic"/>
              <w:b/>
              <w:bCs/>
              <w:color w:val="4F81BD"/>
            </w:rPr>
          </w:pPr>
        </w:p>
      </w:tc>
    </w:tr>
    <w:tr w:rsidR="00FA04A9" w14:paraId="30E8F02B" w14:textId="77777777" w:rsidTr="00861EC1">
      <w:trPr>
        <w:trHeight w:val="150"/>
      </w:trPr>
      <w:tc>
        <w:tcPr>
          <w:tcW w:w="2250" w:type="pct"/>
          <w:tcBorders>
            <w:top w:val="single" w:sz="4" w:space="0" w:color="4F81BD"/>
            <w:left w:val="nil"/>
            <w:bottom w:val="nil"/>
            <w:right w:val="nil"/>
          </w:tcBorders>
        </w:tcPr>
        <w:p w14:paraId="5AFF063C" w14:textId="77777777" w:rsidR="00FA04A9" w:rsidRPr="00061ECB" w:rsidRDefault="00FA04A9" w:rsidP="00861EC1">
          <w:pPr>
            <w:pStyle w:val="En-tte"/>
            <w:spacing w:line="276" w:lineRule="auto"/>
            <w:rPr>
              <w:rFonts w:eastAsia="MS Gothic"/>
              <w:b/>
              <w:bCs/>
              <w:color w:val="4F81BD"/>
            </w:rPr>
          </w:pPr>
        </w:p>
      </w:tc>
      <w:tc>
        <w:tcPr>
          <w:tcW w:w="0" w:type="auto"/>
          <w:vMerge/>
          <w:vAlign w:val="center"/>
          <w:hideMark/>
        </w:tcPr>
        <w:p w14:paraId="049F25A2" w14:textId="77777777" w:rsidR="00FA04A9" w:rsidRPr="00061ECB" w:rsidRDefault="00FA04A9" w:rsidP="00861EC1">
          <w:pPr>
            <w:spacing w:after="0" w:line="240" w:lineRule="auto"/>
            <w:rPr>
              <w:color w:val="365F91"/>
            </w:rPr>
          </w:pPr>
        </w:p>
      </w:tc>
      <w:tc>
        <w:tcPr>
          <w:tcW w:w="2250" w:type="pct"/>
          <w:tcBorders>
            <w:top w:val="single" w:sz="4" w:space="0" w:color="4F81BD"/>
            <w:left w:val="nil"/>
            <w:bottom w:val="nil"/>
            <w:right w:val="nil"/>
          </w:tcBorders>
        </w:tcPr>
        <w:p w14:paraId="687378AA" w14:textId="77777777" w:rsidR="00FA04A9" w:rsidRPr="00061ECB" w:rsidRDefault="00FA04A9" w:rsidP="00861EC1">
          <w:pPr>
            <w:pStyle w:val="En-tte"/>
            <w:spacing w:line="276" w:lineRule="auto"/>
            <w:rPr>
              <w:rFonts w:eastAsia="MS Gothic"/>
              <w:b/>
              <w:bCs/>
              <w:color w:val="4F81BD"/>
            </w:rPr>
          </w:pPr>
        </w:p>
      </w:tc>
    </w:tr>
  </w:tbl>
  <w:p w14:paraId="7352765D" w14:textId="77777777" w:rsidR="00FA04A9" w:rsidRDefault="00FA04A9" w:rsidP="00861EC1">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2</w:t>
    </w:r>
    <w:r>
      <w:rPr>
        <w:rStyle w:val="Numrodepage"/>
      </w:rPr>
      <w:fldChar w:fldCharType="end"/>
    </w:r>
  </w:p>
  <w:p w14:paraId="3D93B855" w14:textId="77777777" w:rsidR="00FA04A9" w:rsidRDefault="00FA04A9" w:rsidP="00861EC1">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6826188"/>
      <w:docPartObj>
        <w:docPartGallery w:val="Page Numbers (Bottom of Page)"/>
        <w:docPartUnique/>
      </w:docPartObj>
    </w:sdtPr>
    <w:sdtEndPr/>
    <w:sdtContent>
      <w:p w14:paraId="714046DB" w14:textId="047D9B31" w:rsidR="00FA04A9" w:rsidRDefault="00FA04A9">
        <w:pPr>
          <w:pStyle w:val="Pieddepage"/>
          <w:jc w:val="center"/>
        </w:pPr>
        <w:r>
          <w:fldChar w:fldCharType="begin"/>
        </w:r>
        <w:r>
          <w:instrText>PAGE   \* MERGEFORMAT</w:instrText>
        </w:r>
        <w:r>
          <w:fldChar w:fldCharType="separate"/>
        </w:r>
        <w:r w:rsidR="004C7865" w:rsidRPr="004C7865">
          <w:rPr>
            <w:noProof/>
            <w:lang w:val="it-IT"/>
          </w:rPr>
          <w:t>7</w:t>
        </w:r>
        <w:r>
          <w:fldChar w:fldCharType="end"/>
        </w:r>
      </w:p>
    </w:sdtContent>
  </w:sdt>
  <w:p w14:paraId="49EB32B9" w14:textId="77777777" w:rsidR="00FA04A9" w:rsidRDefault="00FA04A9" w:rsidP="00861EC1">
    <w:pPr>
      <w:pStyle w:val="Pieddepage"/>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13FF36" w14:textId="77777777" w:rsidR="008339A9" w:rsidRDefault="008339A9" w:rsidP="00F3573A">
      <w:pPr>
        <w:spacing w:after="0" w:line="240" w:lineRule="auto"/>
      </w:pPr>
      <w:r>
        <w:separator/>
      </w:r>
    </w:p>
  </w:footnote>
  <w:footnote w:type="continuationSeparator" w:id="0">
    <w:p w14:paraId="2AF4987D" w14:textId="77777777" w:rsidR="008339A9" w:rsidRDefault="008339A9" w:rsidP="00F357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4E4E9" w14:textId="18504AA8" w:rsidR="00FA04A9" w:rsidRDefault="00FA04A9" w:rsidP="00861EC1">
    <w:pPr>
      <w:pStyle w:val="En-tte"/>
      <w:pBdr>
        <w:bottom w:val="single" w:sz="4" w:space="1"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CE214D" w14:textId="2F1E6C1E" w:rsidR="00FA04A9" w:rsidRDefault="00FA04A9" w:rsidP="007C2F5D">
    <w:pPr>
      <w:pStyle w:val="En-tte"/>
      <w:jc w:val="right"/>
    </w:pPr>
    <w:r>
      <w:rPr>
        <w:noProof/>
        <w:lang w:eastAsia="fr-FR"/>
      </w:rPr>
      <mc:AlternateContent>
        <mc:Choice Requires="wps">
          <w:drawing>
            <wp:anchor distT="45720" distB="45720" distL="114300" distR="114300" simplePos="0" relativeHeight="251659264" behindDoc="0" locked="0" layoutInCell="1" allowOverlap="1" wp14:anchorId="3D26787D" wp14:editId="31648931">
              <wp:simplePos x="0" y="0"/>
              <wp:positionH relativeFrom="page">
                <wp:align>right</wp:align>
              </wp:positionH>
              <wp:positionV relativeFrom="paragraph">
                <wp:posOffset>-440055</wp:posOffset>
              </wp:positionV>
              <wp:extent cx="2343150" cy="1038225"/>
              <wp:effectExtent l="0" t="0" r="0" b="952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038225"/>
                      </a:xfrm>
                      <a:prstGeom prst="rect">
                        <a:avLst/>
                      </a:prstGeom>
                      <a:solidFill>
                        <a:srgbClr val="FFFFFF"/>
                      </a:solidFill>
                      <a:ln w="9525">
                        <a:noFill/>
                        <a:miter lim="800000"/>
                        <a:headEnd/>
                        <a:tailEnd/>
                      </a:ln>
                    </wps:spPr>
                    <wps:txbx>
                      <w:txbxContent>
                        <w:p w14:paraId="25970EC5" w14:textId="7913EC16" w:rsidR="00FA04A9" w:rsidRDefault="00FA04A9">
                          <w:r>
                            <w:rPr>
                              <w:noProof/>
                              <w:lang w:eastAsia="fr-FR"/>
                            </w:rPr>
                            <w:drawing>
                              <wp:inline distT="0" distB="0" distL="0" distR="0" wp14:anchorId="0C54FAF0" wp14:editId="08371F9B">
                                <wp:extent cx="2112645" cy="942975"/>
                                <wp:effectExtent l="0" t="0" r="1905" b="9525"/>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logo ipar.jpg"/>
                                        <pic:cNvPicPr/>
                                      </pic:nvPicPr>
                                      <pic:blipFill>
                                        <a:blip r:embed="rId1">
                                          <a:extLst>
                                            <a:ext uri="{28A0092B-C50C-407E-A947-70E740481C1C}">
                                              <a14:useLocalDpi xmlns:a14="http://schemas.microsoft.com/office/drawing/2010/main" val="0"/>
                                            </a:ext>
                                          </a:extLst>
                                        </a:blip>
                                        <a:stretch>
                                          <a:fillRect/>
                                        </a:stretch>
                                      </pic:blipFill>
                                      <pic:spPr>
                                        <a:xfrm>
                                          <a:off x="0" y="0"/>
                                          <a:ext cx="2112645" cy="9429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D26787D" id="_x0000_t202" coordsize="21600,21600" o:spt="202" path="m,l,21600r21600,l21600,xe">
              <v:stroke joinstyle="miter"/>
              <v:path gradientshapeok="t" o:connecttype="rect"/>
            </v:shapetype>
            <v:shape id="_x0000_s1040" type="#_x0000_t202" style="position:absolute;left:0;text-align:left;margin-left:133.3pt;margin-top:-34.65pt;width:184.5pt;height:81.75pt;z-index:2516592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" stroked="f">
              <v:textbox>
                <w:txbxContent>
                  <w:p w14:paraId="25970EC5" w14:textId="7913EC16" w:rsidR="00FA04A9" w:rsidRDefault="00FA04A9">
                    <w:r>
                      <w:rPr>
                        <w:noProof/>
                        <w:lang w:eastAsia="fr-FR"/>
                      </w:rPr>
                      <w:drawing>
                        <wp:inline distT="0" distB="0" distL="0" distR="0" wp14:anchorId="0C54FAF0" wp14:editId="08371F9B">
                          <wp:extent cx="2112645" cy="942975"/>
                          <wp:effectExtent l="0" t="0" r="1905" b="9525"/>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logo ipar.jpg"/>
                                  <pic:cNvPicPr/>
                                </pic:nvPicPr>
                                <pic:blipFill>
                                  <a:blip r:embed="rId2">
                                    <a:extLst>
                                      <a:ext uri="{28A0092B-C50C-407E-A947-70E740481C1C}">
                                        <a14:useLocalDpi xmlns:a14="http://schemas.microsoft.com/office/drawing/2010/main" val="0"/>
                                      </a:ext>
                                    </a:extLst>
                                  </a:blip>
                                  <a:stretch>
                                    <a:fillRect/>
                                  </a:stretch>
                                </pic:blipFill>
                                <pic:spPr>
                                  <a:xfrm>
                                    <a:off x="0" y="0"/>
                                    <a:ext cx="2112645" cy="942975"/>
                                  </a:xfrm>
                                  <a:prstGeom prst="rect">
                                    <a:avLst/>
                                  </a:prstGeom>
                                </pic:spPr>
                              </pic:pic>
                            </a:graphicData>
                          </a:graphic>
                        </wp:inline>
                      </w:drawing>
                    </w:r>
                  </w:p>
                </w:txbxContent>
              </v:textbox>
              <w10:wrap type="square" anchorx="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EFFAC" w14:textId="490784EE" w:rsidR="00FA04A9" w:rsidRDefault="00FA04A9" w:rsidP="007C2F5D">
    <w:pPr>
      <w:pStyle w:val="En-tte"/>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89E8F" w14:textId="02F8C550" w:rsidR="00FA04A9" w:rsidRDefault="00FA04A9" w:rsidP="007C2F5D">
    <w:pPr>
      <w:pStyle w:val="En-tte"/>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E07014" w14:textId="4CC09E31" w:rsidR="00FA04A9" w:rsidRPr="00414766" w:rsidRDefault="00FA04A9" w:rsidP="00554F5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03946"/>
    <w:multiLevelType w:val="hybridMultilevel"/>
    <w:tmpl w:val="C632150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EC36F29"/>
    <w:multiLevelType w:val="hybridMultilevel"/>
    <w:tmpl w:val="6D782B5A"/>
    <w:lvl w:ilvl="0" w:tplc="040C001B">
      <w:start w:val="1"/>
      <w:numFmt w:val="lowerRoman"/>
      <w:lvlText w:val="%1."/>
      <w:lvlJc w:val="righ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3D92210"/>
    <w:multiLevelType w:val="hybridMultilevel"/>
    <w:tmpl w:val="D95AD030"/>
    <w:lvl w:ilvl="0" w:tplc="FBFEE59A">
      <w:start w:val="50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41D5016"/>
    <w:multiLevelType w:val="hybridMultilevel"/>
    <w:tmpl w:val="E752EF26"/>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1C25714"/>
    <w:multiLevelType w:val="hybridMultilevel"/>
    <w:tmpl w:val="A52E5B0A"/>
    <w:lvl w:ilvl="0" w:tplc="87703B76">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7971713"/>
    <w:multiLevelType w:val="hybridMultilevel"/>
    <w:tmpl w:val="8E7CD3C6"/>
    <w:lvl w:ilvl="0" w:tplc="0C30F0D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E005EE7"/>
    <w:multiLevelType w:val="hybridMultilevel"/>
    <w:tmpl w:val="C504CD9E"/>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EB807F9"/>
    <w:multiLevelType w:val="hybridMultilevel"/>
    <w:tmpl w:val="39C477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FFC014D"/>
    <w:multiLevelType w:val="hybridMultilevel"/>
    <w:tmpl w:val="B3C4F2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4F5611B"/>
    <w:multiLevelType w:val="hybridMultilevel"/>
    <w:tmpl w:val="C7A8105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7D93C0E"/>
    <w:multiLevelType w:val="hybridMultilevel"/>
    <w:tmpl w:val="453427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8500DE7"/>
    <w:multiLevelType w:val="hybridMultilevel"/>
    <w:tmpl w:val="8B0812B0"/>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A231875"/>
    <w:multiLevelType w:val="hybridMultilevel"/>
    <w:tmpl w:val="E29C29CE"/>
    <w:lvl w:ilvl="0" w:tplc="4C34F7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F487982"/>
    <w:multiLevelType w:val="hybridMultilevel"/>
    <w:tmpl w:val="CE0E9E62"/>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40703D5"/>
    <w:multiLevelType w:val="hybridMultilevel"/>
    <w:tmpl w:val="52167B16"/>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B467635"/>
    <w:multiLevelType w:val="hybridMultilevel"/>
    <w:tmpl w:val="B974256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50D967EA"/>
    <w:multiLevelType w:val="hybridMultilevel"/>
    <w:tmpl w:val="AE9293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3D3186F"/>
    <w:multiLevelType w:val="hybridMultilevel"/>
    <w:tmpl w:val="3C1EBB16"/>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8" w15:restartNumberingAfterBreak="0">
    <w:nsid w:val="5AF06D84"/>
    <w:multiLevelType w:val="hybridMultilevel"/>
    <w:tmpl w:val="B0C88016"/>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D1B2A6A"/>
    <w:multiLevelType w:val="hybridMultilevel"/>
    <w:tmpl w:val="910881C0"/>
    <w:lvl w:ilvl="0" w:tplc="1A30E33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54317D4"/>
    <w:multiLevelType w:val="hybridMultilevel"/>
    <w:tmpl w:val="703E55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79B7649"/>
    <w:multiLevelType w:val="hybridMultilevel"/>
    <w:tmpl w:val="20A243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B4A3543"/>
    <w:multiLevelType w:val="hybridMultilevel"/>
    <w:tmpl w:val="43F8021E"/>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3BA711A"/>
    <w:multiLevelType w:val="hybridMultilevel"/>
    <w:tmpl w:val="3C9A4750"/>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6252A9C"/>
    <w:multiLevelType w:val="hybridMultilevel"/>
    <w:tmpl w:val="D4DA523E"/>
    <w:lvl w:ilvl="0" w:tplc="040C0019">
      <w:start w:val="1"/>
      <w:numFmt w:val="low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5" w15:restartNumberingAfterBreak="0">
    <w:nsid w:val="7CB90883"/>
    <w:multiLevelType w:val="hybridMultilevel"/>
    <w:tmpl w:val="93AC91CA"/>
    <w:lvl w:ilvl="0" w:tplc="C9460D4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7E915788"/>
    <w:multiLevelType w:val="hybridMultilevel"/>
    <w:tmpl w:val="A7FA90E6"/>
    <w:lvl w:ilvl="0" w:tplc="FBD0128A">
      <w:start w:val="50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8"/>
  </w:num>
  <w:num w:numId="2">
    <w:abstractNumId w:val="24"/>
  </w:num>
  <w:num w:numId="3">
    <w:abstractNumId w:val="5"/>
  </w:num>
  <w:num w:numId="4">
    <w:abstractNumId w:val="8"/>
  </w:num>
  <w:num w:numId="5">
    <w:abstractNumId w:val="4"/>
  </w:num>
  <w:num w:numId="6">
    <w:abstractNumId w:val="0"/>
  </w:num>
  <w:num w:numId="7">
    <w:abstractNumId w:val="6"/>
  </w:num>
  <w:num w:numId="8">
    <w:abstractNumId w:val="21"/>
  </w:num>
  <w:num w:numId="9">
    <w:abstractNumId w:val="17"/>
  </w:num>
  <w:num w:numId="10">
    <w:abstractNumId w:val="16"/>
  </w:num>
  <w:num w:numId="11">
    <w:abstractNumId w:val="20"/>
  </w:num>
  <w:num w:numId="12">
    <w:abstractNumId w:val="14"/>
  </w:num>
  <w:num w:numId="13">
    <w:abstractNumId w:val="3"/>
  </w:num>
  <w:num w:numId="14">
    <w:abstractNumId w:val="23"/>
  </w:num>
  <w:num w:numId="15">
    <w:abstractNumId w:val="15"/>
  </w:num>
  <w:num w:numId="16">
    <w:abstractNumId w:val="12"/>
  </w:num>
  <w:num w:numId="17">
    <w:abstractNumId w:val="11"/>
  </w:num>
  <w:num w:numId="18">
    <w:abstractNumId w:val="25"/>
  </w:num>
  <w:num w:numId="19">
    <w:abstractNumId w:val="1"/>
  </w:num>
  <w:num w:numId="20">
    <w:abstractNumId w:val="22"/>
  </w:num>
  <w:num w:numId="21">
    <w:abstractNumId w:val="13"/>
  </w:num>
  <w:num w:numId="22">
    <w:abstractNumId w:val="26"/>
  </w:num>
  <w:num w:numId="23">
    <w:abstractNumId w:val="2"/>
  </w:num>
  <w:num w:numId="24">
    <w:abstractNumId w:val="19"/>
  </w:num>
  <w:num w:numId="25">
    <w:abstractNumId w:val="10"/>
  </w:num>
  <w:num w:numId="26">
    <w:abstractNumId w:val="7"/>
  </w:num>
  <w:num w:numId="27">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EA1"/>
    <w:rsid w:val="00002ECA"/>
    <w:rsid w:val="00007DF3"/>
    <w:rsid w:val="00010251"/>
    <w:rsid w:val="00011716"/>
    <w:rsid w:val="000237C7"/>
    <w:rsid w:val="000278E1"/>
    <w:rsid w:val="0004104C"/>
    <w:rsid w:val="00061AEC"/>
    <w:rsid w:val="00067A10"/>
    <w:rsid w:val="00070025"/>
    <w:rsid w:val="00071911"/>
    <w:rsid w:val="00072566"/>
    <w:rsid w:val="00077064"/>
    <w:rsid w:val="00086B08"/>
    <w:rsid w:val="000956CD"/>
    <w:rsid w:val="00097544"/>
    <w:rsid w:val="000A2241"/>
    <w:rsid w:val="000A2F61"/>
    <w:rsid w:val="000B4521"/>
    <w:rsid w:val="000C6634"/>
    <w:rsid w:val="000D3E9F"/>
    <w:rsid w:val="000F0636"/>
    <w:rsid w:val="000F7AEE"/>
    <w:rsid w:val="00123779"/>
    <w:rsid w:val="00133817"/>
    <w:rsid w:val="00145B02"/>
    <w:rsid w:val="001911BD"/>
    <w:rsid w:val="001A2FCC"/>
    <w:rsid w:val="001D0CCF"/>
    <w:rsid w:val="001F7FFA"/>
    <w:rsid w:val="002012C5"/>
    <w:rsid w:val="0020450E"/>
    <w:rsid w:val="00205891"/>
    <w:rsid w:val="00207C66"/>
    <w:rsid w:val="002222A9"/>
    <w:rsid w:val="00222AE5"/>
    <w:rsid w:val="00224B5F"/>
    <w:rsid w:val="0022529E"/>
    <w:rsid w:val="00263C17"/>
    <w:rsid w:val="002678B8"/>
    <w:rsid w:val="00270391"/>
    <w:rsid w:val="002730E8"/>
    <w:rsid w:val="00273643"/>
    <w:rsid w:val="00276608"/>
    <w:rsid w:val="00287FAF"/>
    <w:rsid w:val="002A0AC7"/>
    <w:rsid w:val="002A1AB3"/>
    <w:rsid w:val="002B0096"/>
    <w:rsid w:val="002C3AD4"/>
    <w:rsid w:val="002D0FD8"/>
    <w:rsid w:val="002D5FC1"/>
    <w:rsid w:val="002E518B"/>
    <w:rsid w:val="002F54D3"/>
    <w:rsid w:val="003031A6"/>
    <w:rsid w:val="0030397A"/>
    <w:rsid w:val="003053C4"/>
    <w:rsid w:val="00312053"/>
    <w:rsid w:val="00314498"/>
    <w:rsid w:val="00321086"/>
    <w:rsid w:val="00323A8A"/>
    <w:rsid w:val="00326FC9"/>
    <w:rsid w:val="003301CD"/>
    <w:rsid w:val="00342E01"/>
    <w:rsid w:val="00350CF3"/>
    <w:rsid w:val="003530F1"/>
    <w:rsid w:val="00362F27"/>
    <w:rsid w:val="00366178"/>
    <w:rsid w:val="00370A8A"/>
    <w:rsid w:val="00384E91"/>
    <w:rsid w:val="00387EB4"/>
    <w:rsid w:val="003D5716"/>
    <w:rsid w:val="003D7954"/>
    <w:rsid w:val="003E2BF2"/>
    <w:rsid w:val="003E2F80"/>
    <w:rsid w:val="003F1FD5"/>
    <w:rsid w:val="00402755"/>
    <w:rsid w:val="00410D2E"/>
    <w:rsid w:val="0041289C"/>
    <w:rsid w:val="004131F6"/>
    <w:rsid w:val="00415E0C"/>
    <w:rsid w:val="00427209"/>
    <w:rsid w:val="00451728"/>
    <w:rsid w:val="00481B20"/>
    <w:rsid w:val="004830A9"/>
    <w:rsid w:val="0049225E"/>
    <w:rsid w:val="004A22AF"/>
    <w:rsid w:val="004B00E1"/>
    <w:rsid w:val="004B3C41"/>
    <w:rsid w:val="004B4F93"/>
    <w:rsid w:val="004C1F75"/>
    <w:rsid w:val="004C7865"/>
    <w:rsid w:val="004D08C8"/>
    <w:rsid w:val="004D1272"/>
    <w:rsid w:val="005058D6"/>
    <w:rsid w:val="005161AF"/>
    <w:rsid w:val="005320A4"/>
    <w:rsid w:val="005342EC"/>
    <w:rsid w:val="00534D25"/>
    <w:rsid w:val="00536871"/>
    <w:rsid w:val="00536D79"/>
    <w:rsid w:val="00541B47"/>
    <w:rsid w:val="00542759"/>
    <w:rsid w:val="0054507F"/>
    <w:rsid w:val="00547371"/>
    <w:rsid w:val="00554F55"/>
    <w:rsid w:val="0056146E"/>
    <w:rsid w:val="00563C29"/>
    <w:rsid w:val="00565B32"/>
    <w:rsid w:val="00570AAC"/>
    <w:rsid w:val="00570B4A"/>
    <w:rsid w:val="005748C7"/>
    <w:rsid w:val="00577C06"/>
    <w:rsid w:val="00585087"/>
    <w:rsid w:val="00590055"/>
    <w:rsid w:val="00596052"/>
    <w:rsid w:val="005972CE"/>
    <w:rsid w:val="005A10B2"/>
    <w:rsid w:val="005A4226"/>
    <w:rsid w:val="005B08D2"/>
    <w:rsid w:val="005C061E"/>
    <w:rsid w:val="005C620B"/>
    <w:rsid w:val="005D0A8A"/>
    <w:rsid w:val="005D6E37"/>
    <w:rsid w:val="005E0505"/>
    <w:rsid w:val="005E2966"/>
    <w:rsid w:val="005E4228"/>
    <w:rsid w:val="005E718A"/>
    <w:rsid w:val="005F1702"/>
    <w:rsid w:val="005F3970"/>
    <w:rsid w:val="00612F8A"/>
    <w:rsid w:val="00613753"/>
    <w:rsid w:val="00615044"/>
    <w:rsid w:val="00616224"/>
    <w:rsid w:val="00623A66"/>
    <w:rsid w:val="006325B9"/>
    <w:rsid w:val="00632D63"/>
    <w:rsid w:val="00633A98"/>
    <w:rsid w:val="00633C1E"/>
    <w:rsid w:val="006353B3"/>
    <w:rsid w:val="00651513"/>
    <w:rsid w:val="0065384B"/>
    <w:rsid w:val="00654067"/>
    <w:rsid w:val="0069064C"/>
    <w:rsid w:val="006A262B"/>
    <w:rsid w:val="006A4411"/>
    <w:rsid w:val="006A689D"/>
    <w:rsid w:val="006C5E77"/>
    <w:rsid w:val="006D0B5C"/>
    <w:rsid w:val="006D3660"/>
    <w:rsid w:val="006E797C"/>
    <w:rsid w:val="00701F62"/>
    <w:rsid w:val="007032BB"/>
    <w:rsid w:val="00707EC6"/>
    <w:rsid w:val="0071583A"/>
    <w:rsid w:val="00721C19"/>
    <w:rsid w:val="00735228"/>
    <w:rsid w:val="007419A8"/>
    <w:rsid w:val="00766052"/>
    <w:rsid w:val="00775A68"/>
    <w:rsid w:val="007772DC"/>
    <w:rsid w:val="00781DA0"/>
    <w:rsid w:val="00783210"/>
    <w:rsid w:val="00784D66"/>
    <w:rsid w:val="00786693"/>
    <w:rsid w:val="00787069"/>
    <w:rsid w:val="00787AB4"/>
    <w:rsid w:val="00794FE1"/>
    <w:rsid w:val="007A59CD"/>
    <w:rsid w:val="007A5BB3"/>
    <w:rsid w:val="007B1F2C"/>
    <w:rsid w:val="007C2F5D"/>
    <w:rsid w:val="007C528A"/>
    <w:rsid w:val="007D39B3"/>
    <w:rsid w:val="007E67E6"/>
    <w:rsid w:val="007E6FD6"/>
    <w:rsid w:val="007F1493"/>
    <w:rsid w:val="007F4BF3"/>
    <w:rsid w:val="00803C95"/>
    <w:rsid w:val="00803D87"/>
    <w:rsid w:val="008076AC"/>
    <w:rsid w:val="00831066"/>
    <w:rsid w:val="008339A9"/>
    <w:rsid w:val="00847668"/>
    <w:rsid w:val="00856DED"/>
    <w:rsid w:val="00860A60"/>
    <w:rsid w:val="00861EC1"/>
    <w:rsid w:val="00870393"/>
    <w:rsid w:val="00892505"/>
    <w:rsid w:val="008957DB"/>
    <w:rsid w:val="008A7D73"/>
    <w:rsid w:val="008B18A6"/>
    <w:rsid w:val="008B4BAA"/>
    <w:rsid w:val="008D2590"/>
    <w:rsid w:val="008E4864"/>
    <w:rsid w:val="008F17C8"/>
    <w:rsid w:val="008F22D1"/>
    <w:rsid w:val="008F3185"/>
    <w:rsid w:val="008F4BB1"/>
    <w:rsid w:val="00901DD5"/>
    <w:rsid w:val="009136F4"/>
    <w:rsid w:val="0093044E"/>
    <w:rsid w:val="009347E9"/>
    <w:rsid w:val="00942553"/>
    <w:rsid w:val="0094424F"/>
    <w:rsid w:val="0095088B"/>
    <w:rsid w:val="009513AC"/>
    <w:rsid w:val="00951ECF"/>
    <w:rsid w:val="00971DBF"/>
    <w:rsid w:val="0097264C"/>
    <w:rsid w:val="00972C28"/>
    <w:rsid w:val="009854D7"/>
    <w:rsid w:val="0099378E"/>
    <w:rsid w:val="00993929"/>
    <w:rsid w:val="009A232C"/>
    <w:rsid w:val="009A4E0C"/>
    <w:rsid w:val="009C04B8"/>
    <w:rsid w:val="009C775C"/>
    <w:rsid w:val="009D14A4"/>
    <w:rsid w:val="009D3315"/>
    <w:rsid w:val="009E0692"/>
    <w:rsid w:val="009E130A"/>
    <w:rsid w:val="009E4CE8"/>
    <w:rsid w:val="009E68DD"/>
    <w:rsid w:val="009F201A"/>
    <w:rsid w:val="00A0225C"/>
    <w:rsid w:val="00A120F5"/>
    <w:rsid w:val="00A1393E"/>
    <w:rsid w:val="00A16E45"/>
    <w:rsid w:val="00A22A45"/>
    <w:rsid w:val="00A317EF"/>
    <w:rsid w:val="00A40882"/>
    <w:rsid w:val="00A50B51"/>
    <w:rsid w:val="00A52C85"/>
    <w:rsid w:val="00A5461B"/>
    <w:rsid w:val="00A56A83"/>
    <w:rsid w:val="00A76262"/>
    <w:rsid w:val="00A811AD"/>
    <w:rsid w:val="00A87A4D"/>
    <w:rsid w:val="00A919A9"/>
    <w:rsid w:val="00A92ACE"/>
    <w:rsid w:val="00A94CDF"/>
    <w:rsid w:val="00AB2E76"/>
    <w:rsid w:val="00AB3BB5"/>
    <w:rsid w:val="00AC3C55"/>
    <w:rsid w:val="00B00E14"/>
    <w:rsid w:val="00B0181D"/>
    <w:rsid w:val="00B06352"/>
    <w:rsid w:val="00B126BA"/>
    <w:rsid w:val="00B15BA0"/>
    <w:rsid w:val="00B20BCA"/>
    <w:rsid w:val="00B21741"/>
    <w:rsid w:val="00B36024"/>
    <w:rsid w:val="00B46251"/>
    <w:rsid w:val="00B667A2"/>
    <w:rsid w:val="00B72B4B"/>
    <w:rsid w:val="00B758BB"/>
    <w:rsid w:val="00B77D5F"/>
    <w:rsid w:val="00B85E69"/>
    <w:rsid w:val="00B93E33"/>
    <w:rsid w:val="00B9766C"/>
    <w:rsid w:val="00BA1777"/>
    <w:rsid w:val="00BA285D"/>
    <w:rsid w:val="00BA6AD4"/>
    <w:rsid w:val="00BB3E40"/>
    <w:rsid w:val="00BC0497"/>
    <w:rsid w:val="00BC5209"/>
    <w:rsid w:val="00BD052C"/>
    <w:rsid w:val="00BE3BCE"/>
    <w:rsid w:val="00BE5CC2"/>
    <w:rsid w:val="00BF246B"/>
    <w:rsid w:val="00BF2556"/>
    <w:rsid w:val="00BF322F"/>
    <w:rsid w:val="00BF42E2"/>
    <w:rsid w:val="00C0776E"/>
    <w:rsid w:val="00C14792"/>
    <w:rsid w:val="00C14F25"/>
    <w:rsid w:val="00C24EA1"/>
    <w:rsid w:val="00C26C4B"/>
    <w:rsid w:val="00C32EA6"/>
    <w:rsid w:val="00C604FE"/>
    <w:rsid w:val="00C615E2"/>
    <w:rsid w:val="00C62C59"/>
    <w:rsid w:val="00C77C9B"/>
    <w:rsid w:val="00C8542B"/>
    <w:rsid w:val="00C85656"/>
    <w:rsid w:val="00C9063E"/>
    <w:rsid w:val="00C96F20"/>
    <w:rsid w:val="00CA118D"/>
    <w:rsid w:val="00CB4395"/>
    <w:rsid w:val="00CB7881"/>
    <w:rsid w:val="00CC006B"/>
    <w:rsid w:val="00CD2616"/>
    <w:rsid w:val="00CD40F5"/>
    <w:rsid w:val="00CE23C4"/>
    <w:rsid w:val="00CE4955"/>
    <w:rsid w:val="00CE691B"/>
    <w:rsid w:val="00CF3BAA"/>
    <w:rsid w:val="00D26B39"/>
    <w:rsid w:val="00D27774"/>
    <w:rsid w:val="00D430A7"/>
    <w:rsid w:val="00D431C6"/>
    <w:rsid w:val="00D4755F"/>
    <w:rsid w:val="00D55442"/>
    <w:rsid w:val="00D603AE"/>
    <w:rsid w:val="00D6672F"/>
    <w:rsid w:val="00D70053"/>
    <w:rsid w:val="00D73438"/>
    <w:rsid w:val="00D75DF9"/>
    <w:rsid w:val="00D765DA"/>
    <w:rsid w:val="00D80136"/>
    <w:rsid w:val="00D801C2"/>
    <w:rsid w:val="00DB2F87"/>
    <w:rsid w:val="00DC69D0"/>
    <w:rsid w:val="00DE37CE"/>
    <w:rsid w:val="00DE5F6B"/>
    <w:rsid w:val="00DF3FB3"/>
    <w:rsid w:val="00E01CF8"/>
    <w:rsid w:val="00E06D45"/>
    <w:rsid w:val="00E14F80"/>
    <w:rsid w:val="00E15D54"/>
    <w:rsid w:val="00E21DCA"/>
    <w:rsid w:val="00E249C9"/>
    <w:rsid w:val="00E33C8B"/>
    <w:rsid w:val="00E4348F"/>
    <w:rsid w:val="00E45D80"/>
    <w:rsid w:val="00E55FB6"/>
    <w:rsid w:val="00E65543"/>
    <w:rsid w:val="00E74232"/>
    <w:rsid w:val="00E74F1B"/>
    <w:rsid w:val="00E80424"/>
    <w:rsid w:val="00E848A3"/>
    <w:rsid w:val="00EA004D"/>
    <w:rsid w:val="00EA769F"/>
    <w:rsid w:val="00EB182F"/>
    <w:rsid w:val="00EC054F"/>
    <w:rsid w:val="00EC09F0"/>
    <w:rsid w:val="00EC136B"/>
    <w:rsid w:val="00EC471E"/>
    <w:rsid w:val="00EC4E6D"/>
    <w:rsid w:val="00ED2560"/>
    <w:rsid w:val="00ED33E6"/>
    <w:rsid w:val="00EE3B0E"/>
    <w:rsid w:val="00EF2BE3"/>
    <w:rsid w:val="00EF6BA6"/>
    <w:rsid w:val="00F07A77"/>
    <w:rsid w:val="00F21204"/>
    <w:rsid w:val="00F22255"/>
    <w:rsid w:val="00F3573A"/>
    <w:rsid w:val="00F3626A"/>
    <w:rsid w:val="00F4696A"/>
    <w:rsid w:val="00F523B1"/>
    <w:rsid w:val="00F823A9"/>
    <w:rsid w:val="00F83389"/>
    <w:rsid w:val="00F860BA"/>
    <w:rsid w:val="00F900D2"/>
    <w:rsid w:val="00F94056"/>
    <w:rsid w:val="00F951FE"/>
    <w:rsid w:val="00F97976"/>
    <w:rsid w:val="00FA04A9"/>
    <w:rsid w:val="00FA6424"/>
    <w:rsid w:val="00FB2961"/>
    <w:rsid w:val="00FE115A"/>
    <w:rsid w:val="00FE1695"/>
    <w:rsid w:val="00FE3BB8"/>
    <w:rsid w:val="00FF0F9B"/>
    <w:rsid w:val="00FF17EE"/>
    <w:rsid w:val="00FF2D2F"/>
    <w:rsid w:val="00FF48D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A93F7"/>
  <w15:chartTrackingRefBased/>
  <w15:docId w15:val="{B473ACB1-2366-4130-9461-CB948A069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EA1"/>
  </w:style>
  <w:style w:type="paragraph" w:styleId="Titre1">
    <w:name w:val="heading 1"/>
    <w:basedOn w:val="Normal"/>
    <w:next w:val="Normal"/>
    <w:link w:val="Titre1Car"/>
    <w:uiPriority w:val="9"/>
    <w:qFormat/>
    <w:rsid w:val="00C24E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C24E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6353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24EA1"/>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C24EA1"/>
    <w:rPr>
      <w:rFonts w:asciiTheme="majorHAnsi" w:eastAsiaTheme="majorEastAsia" w:hAnsiTheme="majorHAnsi" w:cstheme="majorBidi"/>
      <w:color w:val="2E74B5" w:themeColor="accent1" w:themeShade="BF"/>
      <w:sz w:val="26"/>
      <w:szCs w:val="26"/>
    </w:rPr>
  </w:style>
  <w:style w:type="paragraph" w:styleId="Paragraphedeliste">
    <w:name w:val="List Paragraph"/>
    <w:aliases w:val="Dot pt,No Spacing1,List Paragraph Char Char Char,Indicator Text,List Paragraph1,Numbered Para 1,List Paragraph12,Bullet Points,MAIN CONTENT,Bullet 1,Colorful List - Accent 11,Paragraph,Numbered paragraph,List Paragraph-ExecSummary"/>
    <w:basedOn w:val="Normal"/>
    <w:link w:val="ParagraphedelisteCar"/>
    <w:uiPriority w:val="34"/>
    <w:qFormat/>
    <w:rsid w:val="00C24EA1"/>
    <w:pPr>
      <w:ind w:left="720"/>
      <w:contextualSpacing/>
    </w:pPr>
  </w:style>
  <w:style w:type="character" w:customStyle="1" w:styleId="ParagraphedelisteCar">
    <w:name w:val="Paragraphe de liste Car"/>
    <w:aliases w:val="Dot pt Car,No Spacing1 Car,List Paragraph Char Char Char Car,Indicator Text Car,List Paragraph1 Car,Numbered Para 1 Car,List Paragraph12 Car,Bullet Points Car,MAIN CONTENT Car,Bullet 1 Car,Colorful List - Accent 11 Car"/>
    <w:link w:val="Paragraphedeliste"/>
    <w:uiPriority w:val="34"/>
    <w:qFormat/>
    <w:locked/>
    <w:rsid w:val="00C24EA1"/>
  </w:style>
  <w:style w:type="table" w:styleId="Grilledutableau">
    <w:name w:val="Table Grid"/>
    <w:basedOn w:val="TableauNormal"/>
    <w:uiPriority w:val="39"/>
    <w:rsid w:val="00C24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gende">
    <w:name w:val="caption"/>
    <w:basedOn w:val="Normal"/>
    <w:next w:val="Normal"/>
    <w:uiPriority w:val="35"/>
    <w:unhideWhenUsed/>
    <w:qFormat/>
    <w:rsid w:val="00C24EA1"/>
    <w:pPr>
      <w:spacing w:after="200" w:line="240" w:lineRule="auto"/>
    </w:pPr>
    <w:rPr>
      <w:i/>
      <w:iCs/>
      <w:color w:val="44546A" w:themeColor="text2"/>
      <w:sz w:val="18"/>
      <w:szCs w:val="18"/>
    </w:rPr>
  </w:style>
  <w:style w:type="paragraph" w:styleId="En-tte">
    <w:name w:val="header"/>
    <w:basedOn w:val="Normal"/>
    <w:link w:val="En-tteCar"/>
    <w:uiPriority w:val="99"/>
    <w:unhideWhenUsed/>
    <w:rsid w:val="00C24EA1"/>
    <w:pPr>
      <w:tabs>
        <w:tab w:val="center" w:pos="4536"/>
        <w:tab w:val="right" w:pos="9072"/>
      </w:tabs>
      <w:spacing w:after="0" w:line="240" w:lineRule="auto"/>
    </w:pPr>
  </w:style>
  <w:style w:type="character" w:customStyle="1" w:styleId="En-tteCar">
    <w:name w:val="En-tête Car"/>
    <w:basedOn w:val="Policepardfaut"/>
    <w:link w:val="En-tte"/>
    <w:uiPriority w:val="99"/>
    <w:rsid w:val="00C24EA1"/>
  </w:style>
  <w:style w:type="character" w:customStyle="1" w:styleId="Titre3Car">
    <w:name w:val="Titre 3 Car"/>
    <w:basedOn w:val="Policepardfaut"/>
    <w:link w:val="Titre3"/>
    <w:uiPriority w:val="9"/>
    <w:rsid w:val="006353B3"/>
    <w:rPr>
      <w:rFonts w:asciiTheme="majorHAnsi" w:eastAsiaTheme="majorEastAsia" w:hAnsiTheme="majorHAnsi" w:cstheme="majorBidi"/>
      <w:color w:val="1F4D78" w:themeColor="accent1" w:themeShade="7F"/>
      <w:sz w:val="24"/>
      <w:szCs w:val="24"/>
    </w:rPr>
  </w:style>
  <w:style w:type="paragraph" w:styleId="Textedebulles">
    <w:name w:val="Balloon Text"/>
    <w:basedOn w:val="Normal"/>
    <w:link w:val="TextedebullesCar"/>
    <w:uiPriority w:val="99"/>
    <w:semiHidden/>
    <w:unhideWhenUsed/>
    <w:rsid w:val="0007256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072566"/>
    <w:rPr>
      <w:rFonts w:ascii="Segoe UI" w:hAnsi="Segoe UI" w:cs="Segoe UI"/>
      <w:sz w:val="18"/>
      <w:szCs w:val="18"/>
    </w:rPr>
  </w:style>
  <w:style w:type="paragraph" w:styleId="Pieddepage">
    <w:name w:val="footer"/>
    <w:basedOn w:val="Normal"/>
    <w:link w:val="PieddepageCar"/>
    <w:uiPriority w:val="99"/>
    <w:unhideWhenUsed/>
    <w:rsid w:val="00F3573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3573A"/>
  </w:style>
  <w:style w:type="character" w:styleId="Marquedecommentaire">
    <w:name w:val="annotation reference"/>
    <w:basedOn w:val="Policepardfaut"/>
    <w:uiPriority w:val="99"/>
    <w:semiHidden/>
    <w:unhideWhenUsed/>
    <w:rsid w:val="00CD40F5"/>
    <w:rPr>
      <w:sz w:val="16"/>
      <w:szCs w:val="16"/>
    </w:rPr>
  </w:style>
  <w:style w:type="paragraph" w:styleId="Commentaire">
    <w:name w:val="annotation text"/>
    <w:basedOn w:val="Normal"/>
    <w:link w:val="CommentaireCar"/>
    <w:uiPriority w:val="99"/>
    <w:semiHidden/>
    <w:unhideWhenUsed/>
    <w:rsid w:val="00CD40F5"/>
    <w:pPr>
      <w:spacing w:line="240" w:lineRule="auto"/>
    </w:pPr>
    <w:rPr>
      <w:sz w:val="20"/>
      <w:szCs w:val="20"/>
    </w:rPr>
  </w:style>
  <w:style w:type="character" w:customStyle="1" w:styleId="CommentaireCar">
    <w:name w:val="Commentaire Car"/>
    <w:basedOn w:val="Policepardfaut"/>
    <w:link w:val="Commentaire"/>
    <w:uiPriority w:val="99"/>
    <w:semiHidden/>
    <w:rsid w:val="00CD40F5"/>
    <w:rPr>
      <w:sz w:val="20"/>
      <w:szCs w:val="20"/>
    </w:rPr>
  </w:style>
  <w:style w:type="paragraph" w:styleId="Objetducommentaire">
    <w:name w:val="annotation subject"/>
    <w:basedOn w:val="Commentaire"/>
    <w:next w:val="Commentaire"/>
    <w:link w:val="ObjetducommentaireCar"/>
    <w:uiPriority w:val="99"/>
    <w:semiHidden/>
    <w:unhideWhenUsed/>
    <w:rsid w:val="00CD40F5"/>
    <w:rPr>
      <w:b/>
      <w:bCs/>
    </w:rPr>
  </w:style>
  <w:style w:type="character" w:customStyle="1" w:styleId="ObjetducommentaireCar">
    <w:name w:val="Objet du commentaire Car"/>
    <w:basedOn w:val="CommentaireCar"/>
    <w:link w:val="Objetducommentaire"/>
    <w:uiPriority w:val="99"/>
    <w:semiHidden/>
    <w:rsid w:val="00CD40F5"/>
    <w:rPr>
      <w:b/>
      <w:bCs/>
      <w:sz w:val="20"/>
      <w:szCs w:val="20"/>
    </w:rPr>
  </w:style>
  <w:style w:type="paragraph" w:customStyle="1" w:styleId="Sfondomedio1-Colore11">
    <w:name w:val="Sfondo medio 1 - Colore 11"/>
    <w:link w:val="Sfondomedio1-Colore1Carattere"/>
    <w:uiPriority w:val="1"/>
    <w:qFormat/>
    <w:rsid w:val="00651513"/>
    <w:pPr>
      <w:spacing w:after="0" w:line="240" w:lineRule="auto"/>
    </w:pPr>
    <w:rPr>
      <w:rFonts w:ascii="Calibri" w:eastAsia="Times New Roman" w:hAnsi="Calibri" w:cs="Times New Roman"/>
      <w:lang w:val="en-US"/>
    </w:rPr>
  </w:style>
  <w:style w:type="character" w:customStyle="1" w:styleId="Sfondomedio1-Colore1Carattere">
    <w:name w:val="Sfondo medio 1 - Colore 1 Carattere"/>
    <w:link w:val="Sfondomedio1-Colore11"/>
    <w:uiPriority w:val="1"/>
    <w:rsid w:val="00651513"/>
    <w:rPr>
      <w:rFonts w:ascii="Calibri" w:eastAsia="Times New Roman" w:hAnsi="Calibri" w:cs="Times New Roman"/>
      <w:lang w:val="en-US"/>
    </w:rPr>
  </w:style>
  <w:style w:type="character" w:styleId="Numrodepage">
    <w:name w:val="page number"/>
    <w:uiPriority w:val="99"/>
    <w:semiHidden/>
    <w:unhideWhenUsed/>
    <w:rsid w:val="00651513"/>
  </w:style>
  <w:style w:type="paragraph" w:customStyle="1" w:styleId="Grigliamedia21">
    <w:name w:val="Griglia media 21"/>
    <w:link w:val="Grigliamedia2Carattere"/>
    <w:qFormat/>
    <w:rsid w:val="00651513"/>
    <w:pPr>
      <w:spacing w:after="0" w:line="240" w:lineRule="auto"/>
    </w:pPr>
    <w:rPr>
      <w:rFonts w:ascii="PMingLiU" w:eastAsia="MS Mincho" w:hAnsi="PMingLiU" w:cs="Times New Roman"/>
      <w:lang w:val="it-IT" w:eastAsia="it-IT"/>
    </w:rPr>
  </w:style>
  <w:style w:type="character" w:customStyle="1" w:styleId="Grigliamedia2Carattere">
    <w:name w:val="Griglia media 2 Carattere"/>
    <w:link w:val="Grigliamedia21"/>
    <w:rsid w:val="00651513"/>
    <w:rPr>
      <w:rFonts w:ascii="PMingLiU" w:eastAsia="MS Mincho" w:hAnsi="PMingLiU" w:cs="Times New Roman"/>
      <w:lang w:val="it-IT" w:eastAsia="it-IT"/>
    </w:rPr>
  </w:style>
  <w:style w:type="paragraph" w:styleId="En-ttedetabledesmatires">
    <w:name w:val="TOC Heading"/>
    <w:basedOn w:val="Titre1"/>
    <w:next w:val="Normal"/>
    <w:uiPriority w:val="39"/>
    <w:unhideWhenUsed/>
    <w:qFormat/>
    <w:rsid w:val="00B21741"/>
    <w:pPr>
      <w:outlineLvl w:val="9"/>
    </w:pPr>
    <w:rPr>
      <w:lang w:eastAsia="fr-FR"/>
    </w:rPr>
  </w:style>
  <w:style w:type="paragraph" w:styleId="TM1">
    <w:name w:val="toc 1"/>
    <w:basedOn w:val="Normal"/>
    <w:next w:val="Normal"/>
    <w:autoRedefine/>
    <w:uiPriority w:val="39"/>
    <w:unhideWhenUsed/>
    <w:rsid w:val="00B21741"/>
    <w:pPr>
      <w:spacing w:after="100"/>
    </w:pPr>
  </w:style>
  <w:style w:type="paragraph" w:styleId="TM2">
    <w:name w:val="toc 2"/>
    <w:basedOn w:val="Normal"/>
    <w:next w:val="Normal"/>
    <w:autoRedefine/>
    <w:uiPriority w:val="39"/>
    <w:unhideWhenUsed/>
    <w:rsid w:val="00B21741"/>
    <w:pPr>
      <w:spacing w:after="100"/>
      <w:ind w:left="220"/>
    </w:pPr>
  </w:style>
  <w:style w:type="paragraph" w:styleId="TM3">
    <w:name w:val="toc 3"/>
    <w:basedOn w:val="Normal"/>
    <w:next w:val="Normal"/>
    <w:autoRedefine/>
    <w:uiPriority w:val="39"/>
    <w:unhideWhenUsed/>
    <w:rsid w:val="00B21741"/>
    <w:pPr>
      <w:spacing w:after="100"/>
      <w:ind w:left="440"/>
    </w:pPr>
  </w:style>
  <w:style w:type="character" w:styleId="Lienhypertexte">
    <w:name w:val="Hyperlink"/>
    <w:basedOn w:val="Policepardfaut"/>
    <w:uiPriority w:val="99"/>
    <w:unhideWhenUsed/>
    <w:rsid w:val="00B21741"/>
    <w:rPr>
      <w:color w:val="0563C1" w:themeColor="hyperlink"/>
      <w:u w:val="single"/>
    </w:rPr>
  </w:style>
  <w:style w:type="paragraph" w:styleId="Bibliographie">
    <w:name w:val="Bibliography"/>
    <w:basedOn w:val="Normal"/>
    <w:next w:val="Normal"/>
    <w:uiPriority w:val="37"/>
    <w:unhideWhenUsed/>
    <w:rsid w:val="00B21741"/>
  </w:style>
  <w:style w:type="paragraph" w:styleId="Tabledesillustrations">
    <w:name w:val="table of figures"/>
    <w:basedOn w:val="Normal"/>
    <w:next w:val="Normal"/>
    <w:uiPriority w:val="99"/>
    <w:unhideWhenUsed/>
    <w:rsid w:val="00F07A77"/>
    <w:pPr>
      <w:spacing w:after="0"/>
      <w:ind w:left="440" w:hanging="440"/>
    </w:pPr>
    <w:rPr>
      <w:rFonts w:cstheme="minorHAnsi"/>
      <w:small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9577">
      <w:bodyDiv w:val="1"/>
      <w:marLeft w:val="0"/>
      <w:marRight w:val="0"/>
      <w:marTop w:val="0"/>
      <w:marBottom w:val="0"/>
      <w:divBdr>
        <w:top w:val="none" w:sz="0" w:space="0" w:color="auto"/>
        <w:left w:val="none" w:sz="0" w:space="0" w:color="auto"/>
        <w:bottom w:val="none" w:sz="0" w:space="0" w:color="auto"/>
        <w:right w:val="none" w:sz="0" w:space="0" w:color="auto"/>
      </w:divBdr>
    </w:div>
    <w:div w:id="49546684">
      <w:bodyDiv w:val="1"/>
      <w:marLeft w:val="0"/>
      <w:marRight w:val="0"/>
      <w:marTop w:val="0"/>
      <w:marBottom w:val="0"/>
      <w:divBdr>
        <w:top w:val="none" w:sz="0" w:space="0" w:color="auto"/>
        <w:left w:val="none" w:sz="0" w:space="0" w:color="auto"/>
        <w:bottom w:val="none" w:sz="0" w:space="0" w:color="auto"/>
        <w:right w:val="none" w:sz="0" w:space="0" w:color="auto"/>
      </w:divBdr>
    </w:div>
    <w:div w:id="58867995">
      <w:bodyDiv w:val="1"/>
      <w:marLeft w:val="0"/>
      <w:marRight w:val="0"/>
      <w:marTop w:val="0"/>
      <w:marBottom w:val="0"/>
      <w:divBdr>
        <w:top w:val="none" w:sz="0" w:space="0" w:color="auto"/>
        <w:left w:val="none" w:sz="0" w:space="0" w:color="auto"/>
        <w:bottom w:val="none" w:sz="0" w:space="0" w:color="auto"/>
        <w:right w:val="none" w:sz="0" w:space="0" w:color="auto"/>
      </w:divBdr>
    </w:div>
    <w:div w:id="83191541">
      <w:bodyDiv w:val="1"/>
      <w:marLeft w:val="0"/>
      <w:marRight w:val="0"/>
      <w:marTop w:val="0"/>
      <w:marBottom w:val="0"/>
      <w:divBdr>
        <w:top w:val="none" w:sz="0" w:space="0" w:color="auto"/>
        <w:left w:val="none" w:sz="0" w:space="0" w:color="auto"/>
        <w:bottom w:val="none" w:sz="0" w:space="0" w:color="auto"/>
        <w:right w:val="none" w:sz="0" w:space="0" w:color="auto"/>
      </w:divBdr>
    </w:div>
    <w:div w:id="129834099">
      <w:bodyDiv w:val="1"/>
      <w:marLeft w:val="0"/>
      <w:marRight w:val="0"/>
      <w:marTop w:val="0"/>
      <w:marBottom w:val="0"/>
      <w:divBdr>
        <w:top w:val="none" w:sz="0" w:space="0" w:color="auto"/>
        <w:left w:val="none" w:sz="0" w:space="0" w:color="auto"/>
        <w:bottom w:val="none" w:sz="0" w:space="0" w:color="auto"/>
        <w:right w:val="none" w:sz="0" w:space="0" w:color="auto"/>
      </w:divBdr>
    </w:div>
    <w:div w:id="139930613">
      <w:bodyDiv w:val="1"/>
      <w:marLeft w:val="0"/>
      <w:marRight w:val="0"/>
      <w:marTop w:val="0"/>
      <w:marBottom w:val="0"/>
      <w:divBdr>
        <w:top w:val="none" w:sz="0" w:space="0" w:color="auto"/>
        <w:left w:val="none" w:sz="0" w:space="0" w:color="auto"/>
        <w:bottom w:val="none" w:sz="0" w:space="0" w:color="auto"/>
        <w:right w:val="none" w:sz="0" w:space="0" w:color="auto"/>
      </w:divBdr>
    </w:div>
    <w:div w:id="146358287">
      <w:bodyDiv w:val="1"/>
      <w:marLeft w:val="0"/>
      <w:marRight w:val="0"/>
      <w:marTop w:val="0"/>
      <w:marBottom w:val="0"/>
      <w:divBdr>
        <w:top w:val="none" w:sz="0" w:space="0" w:color="auto"/>
        <w:left w:val="none" w:sz="0" w:space="0" w:color="auto"/>
        <w:bottom w:val="none" w:sz="0" w:space="0" w:color="auto"/>
        <w:right w:val="none" w:sz="0" w:space="0" w:color="auto"/>
      </w:divBdr>
    </w:div>
    <w:div w:id="174851263">
      <w:bodyDiv w:val="1"/>
      <w:marLeft w:val="0"/>
      <w:marRight w:val="0"/>
      <w:marTop w:val="0"/>
      <w:marBottom w:val="0"/>
      <w:divBdr>
        <w:top w:val="none" w:sz="0" w:space="0" w:color="auto"/>
        <w:left w:val="none" w:sz="0" w:space="0" w:color="auto"/>
        <w:bottom w:val="none" w:sz="0" w:space="0" w:color="auto"/>
        <w:right w:val="none" w:sz="0" w:space="0" w:color="auto"/>
      </w:divBdr>
    </w:div>
    <w:div w:id="199245599">
      <w:bodyDiv w:val="1"/>
      <w:marLeft w:val="0"/>
      <w:marRight w:val="0"/>
      <w:marTop w:val="0"/>
      <w:marBottom w:val="0"/>
      <w:divBdr>
        <w:top w:val="none" w:sz="0" w:space="0" w:color="auto"/>
        <w:left w:val="none" w:sz="0" w:space="0" w:color="auto"/>
        <w:bottom w:val="none" w:sz="0" w:space="0" w:color="auto"/>
        <w:right w:val="none" w:sz="0" w:space="0" w:color="auto"/>
      </w:divBdr>
    </w:div>
    <w:div w:id="224149667">
      <w:bodyDiv w:val="1"/>
      <w:marLeft w:val="0"/>
      <w:marRight w:val="0"/>
      <w:marTop w:val="0"/>
      <w:marBottom w:val="0"/>
      <w:divBdr>
        <w:top w:val="none" w:sz="0" w:space="0" w:color="auto"/>
        <w:left w:val="none" w:sz="0" w:space="0" w:color="auto"/>
        <w:bottom w:val="none" w:sz="0" w:space="0" w:color="auto"/>
        <w:right w:val="none" w:sz="0" w:space="0" w:color="auto"/>
      </w:divBdr>
    </w:div>
    <w:div w:id="270012050">
      <w:bodyDiv w:val="1"/>
      <w:marLeft w:val="0"/>
      <w:marRight w:val="0"/>
      <w:marTop w:val="0"/>
      <w:marBottom w:val="0"/>
      <w:divBdr>
        <w:top w:val="none" w:sz="0" w:space="0" w:color="auto"/>
        <w:left w:val="none" w:sz="0" w:space="0" w:color="auto"/>
        <w:bottom w:val="none" w:sz="0" w:space="0" w:color="auto"/>
        <w:right w:val="none" w:sz="0" w:space="0" w:color="auto"/>
      </w:divBdr>
    </w:div>
    <w:div w:id="306210308">
      <w:bodyDiv w:val="1"/>
      <w:marLeft w:val="0"/>
      <w:marRight w:val="0"/>
      <w:marTop w:val="0"/>
      <w:marBottom w:val="0"/>
      <w:divBdr>
        <w:top w:val="none" w:sz="0" w:space="0" w:color="auto"/>
        <w:left w:val="none" w:sz="0" w:space="0" w:color="auto"/>
        <w:bottom w:val="none" w:sz="0" w:space="0" w:color="auto"/>
        <w:right w:val="none" w:sz="0" w:space="0" w:color="auto"/>
      </w:divBdr>
    </w:div>
    <w:div w:id="388041505">
      <w:bodyDiv w:val="1"/>
      <w:marLeft w:val="0"/>
      <w:marRight w:val="0"/>
      <w:marTop w:val="0"/>
      <w:marBottom w:val="0"/>
      <w:divBdr>
        <w:top w:val="none" w:sz="0" w:space="0" w:color="auto"/>
        <w:left w:val="none" w:sz="0" w:space="0" w:color="auto"/>
        <w:bottom w:val="none" w:sz="0" w:space="0" w:color="auto"/>
        <w:right w:val="none" w:sz="0" w:space="0" w:color="auto"/>
      </w:divBdr>
    </w:div>
    <w:div w:id="431437926">
      <w:bodyDiv w:val="1"/>
      <w:marLeft w:val="0"/>
      <w:marRight w:val="0"/>
      <w:marTop w:val="0"/>
      <w:marBottom w:val="0"/>
      <w:divBdr>
        <w:top w:val="none" w:sz="0" w:space="0" w:color="auto"/>
        <w:left w:val="none" w:sz="0" w:space="0" w:color="auto"/>
        <w:bottom w:val="none" w:sz="0" w:space="0" w:color="auto"/>
        <w:right w:val="none" w:sz="0" w:space="0" w:color="auto"/>
      </w:divBdr>
    </w:div>
    <w:div w:id="474761573">
      <w:bodyDiv w:val="1"/>
      <w:marLeft w:val="0"/>
      <w:marRight w:val="0"/>
      <w:marTop w:val="0"/>
      <w:marBottom w:val="0"/>
      <w:divBdr>
        <w:top w:val="none" w:sz="0" w:space="0" w:color="auto"/>
        <w:left w:val="none" w:sz="0" w:space="0" w:color="auto"/>
        <w:bottom w:val="none" w:sz="0" w:space="0" w:color="auto"/>
        <w:right w:val="none" w:sz="0" w:space="0" w:color="auto"/>
      </w:divBdr>
    </w:div>
    <w:div w:id="480275863">
      <w:bodyDiv w:val="1"/>
      <w:marLeft w:val="0"/>
      <w:marRight w:val="0"/>
      <w:marTop w:val="0"/>
      <w:marBottom w:val="0"/>
      <w:divBdr>
        <w:top w:val="none" w:sz="0" w:space="0" w:color="auto"/>
        <w:left w:val="none" w:sz="0" w:space="0" w:color="auto"/>
        <w:bottom w:val="none" w:sz="0" w:space="0" w:color="auto"/>
        <w:right w:val="none" w:sz="0" w:space="0" w:color="auto"/>
      </w:divBdr>
    </w:div>
    <w:div w:id="637684303">
      <w:bodyDiv w:val="1"/>
      <w:marLeft w:val="0"/>
      <w:marRight w:val="0"/>
      <w:marTop w:val="0"/>
      <w:marBottom w:val="0"/>
      <w:divBdr>
        <w:top w:val="none" w:sz="0" w:space="0" w:color="auto"/>
        <w:left w:val="none" w:sz="0" w:space="0" w:color="auto"/>
        <w:bottom w:val="none" w:sz="0" w:space="0" w:color="auto"/>
        <w:right w:val="none" w:sz="0" w:space="0" w:color="auto"/>
      </w:divBdr>
    </w:div>
    <w:div w:id="661547983">
      <w:bodyDiv w:val="1"/>
      <w:marLeft w:val="0"/>
      <w:marRight w:val="0"/>
      <w:marTop w:val="0"/>
      <w:marBottom w:val="0"/>
      <w:divBdr>
        <w:top w:val="none" w:sz="0" w:space="0" w:color="auto"/>
        <w:left w:val="none" w:sz="0" w:space="0" w:color="auto"/>
        <w:bottom w:val="none" w:sz="0" w:space="0" w:color="auto"/>
        <w:right w:val="none" w:sz="0" w:space="0" w:color="auto"/>
      </w:divBdr>
    </w:div>
    <w:div w:id="670068220">
      <w:bodyDiv w:val="1"/>
      <w:marLeft w:val="0"/>
      <w:marRight w:val="0"/>
      <w:marTop w:val="0"/>
      <w:marBottom w:val="0"/>
      <w:divBdr>
        <w:top w:val="none" w:sz="0" w:space="0" w:color="auto"/>
        <w:left w:val="none" w:sz="0" w:space="0" w:color="auto"/>
        <w:bottom w:val="none" w:sz="0" w:space="0" w:color="auto"/>
        <w:right w:val="none" w:sz="0" w:space="0" w:color="auto"/>
      </w:divBdr>
    </w:div>
    <w:div w:id="672538378">
      <w:bodyDiv w:val="1"/>
      <w:marLeft w:val="0"/>
      <w:marRight w:val="0"/>
      <w:marTop w:val="0"/>
      <w:marBottom w:val="0"/>
      <w:divBdr>
        <w:top w:val="none" w:sz="0" w:space="0" w:color="auto"/>
        <w:left w:val="none" w:sz="0" w:space="0" w:color="auto"/>
        <w:bottom w:val="none" w:sz="0" w:space="0" w:color="auto"/>
        <w:right w:val="none" w:sz="0" w:space="0" w:color="auto"/>
      </w:divBdr>
    </w:div>
    <w:div w:id="699353561">
      <w:bodyDiv w:val="1"/>
      <w:marLeft w:val="0"/>
      <w:marRight w:val="0"/>
      <w:marTop w:val="0"/>
      <w:marBottom w:val="0"/>
      <w:divBdr>
        <w:top w:val="none" w:sz="0" w:space="0" w:color="auto"/>
        <w:left w:val="none" w:sz="0" w:space="0" w:color="auto"/>
        <w:bottom w:val="none" w:sz="0" w:space="0" w:color="auto"/>
        <w:right w:val="none" w:sz="0" w:space="0" w:color="auto"/>
      </w:divBdr>
    </w:div>
    <w:div w:id="727461474">
      <w:bodyDiv w:val="1"/>
      <w:marLeft w:val="0"/>
      <w:marRight w:val="0"/>
      <w:marTop w:val="0"/>
      <w:marBottom w:val="0"/>
      <w:divBdr>
        <w:top w:val="none" w:sz="0" w:space="0" w:color="auto"/>
        <w:left w:val="none" w:sz="0" w:space="0" w:color="auto"/>
        <w:bottom w:val="none" w:sz="0" w:space="0" w:color="auto"/>
        <w:right w:val="none" w:sz="0" w:space="0" w:color="auto"/>
      </w:divBdr>
    </w:div>
    <w:div w:id="733701859">
      <w:bodyDiv w:val="1"/>
      <w:marLeft w:val="0"/>
      <w:marRight w:val="0"/>
      <w:marTop w:val="0"/>
      <w:marBottom w:val="0"/>
      <w:divBdr>
        <w:top w:val="none" w:sz="0" w:space="0" w:color="auto"/>
        <w:left w:val="none" w:sz="0" w:space="0" w:color="auto"/>
        <w:bottom w:val="none" w:sz="0" w:space="0" w:color="auto"/>
        <w:right w:val="none" w:sz="0" w:space="0" w:color="auto"/>
      </w:divBdr>
    </w:div>
    <w:div w:id="735058088">
      <w:bodyDiv w:val="1"/>
      <w:marLeft w:val="0"/>
      <w:marRight w:val="0"/>
      <w:marTop w:val="0"/>
      <w:marBottom w:val="0"/>
      <w:divBdr>
        <w:top w:val="none" w:sz="0" w:space="0" w:color="auto"/>
        <w:left w:val="none" w:sz="0" w:space="0" w:color="auto"/>
        <w:bottom w:val="none" w:sz="0" w:space="0" w:color="auto"/>
        <w:right w:val="none" w:sz="0" w:space="0" w:color="auto"/>
      </w:divBdr>
    </w:div>
    <w:div w:id="737900570">
      <w:bodyDiv w:val="1"/>
      <w:marLeft w:val="0"/>
      <w:marRight w:val="0"/>
      <w:marTop w:val="0"/>
      <w:marBottom w:val="0"/>
      <w:divBdr>
        <w:top w:val="none" w:sz="0" w:space="0" w:color="auto"/>
        <w:left w:val="none" w:sz="0" w:space="0" w:color="auto"/>
        <w:bottom w:val="none" w:sz="0" w:space="0" w:color="auto"/>
        <w:right w:val="none" w:sz="0" w:space="0" w:color="auto"/>
      </w:divBdr>
    </w:div>
    <w:div w:id="747962539">
      <w:bodyDiv w:val="1"/>
      <w:marLeft w:val="0"/>
      <w:marRight w:val="0"/>
      <w:marTop w:val="0"/>
      <w:marBottom w:val="0"/>
      <w:divBdr>
        <w:top w:val="none" w:sz="0" w:space="0" w:color="auto"/>
        <w:left w:val="none" w:sz="0" w:space="0" w:color="auto"/>
        <w:bottom w:val="none" w:sz="0" w:space="0" w:color="auto"/>
        <w:right w:val="none" w:sz="0" w:space="0" w:color="auto"/>
      </w:divBdr>
    </w:div>
    <w:div w:id="861282499">
      <w:bodyDiv w:val="1"/>
      <w:marLeft w:val="0"/>
      <w:marRight w:val="0"/>
      <w:marTop w:val="0"/>
      <w:marBottom w:val="0"/>
      <w:divBdr>
        <w:top w:val="none" w:sz="0" w:space="0" w:color="auto"/>
        <w:left w:val="none" w:sz="0" w:space="0" w:color="auto"/>
        <w:bottom w:val="none" w:sz="0" w:space="0" w:color="auto"/>
        <w:right w:val="none" w:sz="0" w:space="0" w:color="auto"/>
      </w:divBdr>
    </w:div>
    <w:div w:id="879440493">
      <w:bodyDiv w:val="1"/>
      <w:marLeft w:val="0"/>
      <w:marRight w:val="0"/>
      <w:marTop w:val="0"/>
      <w:marBottom w:val="0"/>
      <w:divBdr>
        <w:top w:val="none" w:sz="0" w:space="0" w:color="auto"/>
        <w:left w:val="none" w:sz="0" w:space="0" w:color="auto"/>
        <w:bottom w:val="none" w:sz="0" w:space="0" w:color="auto"/>
        <w:right w:val="none" w:sz="0" w:space="0" w:color="auto"/>
      </w:divBdr>
    </w:div>
    <w:div w:id="946694804">
      <w:bodyDiv w:val="1"/>
      <w:marLeft w:val="0"/>
      <w:marRight w:val="0"/>
      <w:marTop w:val="0"/>
      <w:marBottom w:val="0"/>
      <w:divBdr>
        <w:top w:val="none" w:sz="0" w:space="0" w:color="auto"/>
        <w:left w:val="none" w:sz="0" w:space="0" w:color="auto"/>
        <w:bottom w:val="none" w:sz="0" w:space="0" w:color="auto"/>
        <w:right w:val="none" w:sz="0" w:space="0" w:color="auto"/>
      </w:divBdr>
    </w:div>
    <w:div w:id="968437012">
      <w:bodyDiv w:val="1"/>
      <w:marLeft w:val="0"/>
      <w:marRight w:val="0"/>
      <w:marTop w:val="0"/>
      <w:marBottom w:val="0"/>
      <w:divBdr>
        <w:top w:val="none" w:sz="0" w:space="0" w:color="auto"/>
        <w:left w:val="none" w:sz="0" w:space="0" w:color="auto"/>
        <w:bottom w:val="none" w:sz="0" w:space="0" w:color="auto"/>
        <w:right w:val="none" w:sz="0" w:space="0" w:color="auto"/>
      </w:divBdr>
    </w:div>
    <w:div w:id="977144355">
      <w:bodyDiv w:val="1"/>
      <w:marLeft w:val="0"/>
      <w:marRight w:val="0"/>
      <w:marTop w:val="0"/>
      <w:marBottom w:val="0"/>
      <w:divBdr>
        <w:top w:val="none" w:sz="0" w:space="0" w:color="auto"/>
        <w:left w:val="none" w:sz="0" w:space="0" w:color="auto"/>
        <w:bottom w:val="none" w:sz="0" w:space="0" w:color="auto"/>
        <w:right w:val="none" w:sz="0" w:space="0" w:color="auto"/>
      </w:divBdr>
    </w:div>
    <w:div w:id="1020280379">
      <w:bodyDiv w:val="1"/>
      <w:marLeft w:val="0"/>
      <w:marRight w:val="0"/>
      <w:marTop w:val="0"/>
      <w:marBottom w:val="0"/>
      <w:divBdr>
        <w:top w:val="none" w:sz="0" w:space="0" w:color="auto"/>
        <w:left w:val="none" w:sz="0" w:space="0" w:color="auto"/>
        <w:bottom w:val="none" w:sz="0" w:space="0" w:color="auto"/>
        <w:right w:val="none" w:sz="0" w:space="0" w:color="auto"/>
      </w:divBdr>
    </w:div>
    <w:div w:id="1076827556">
      <w:bodyDiv w:val="1"/>
      <w:marLeft w:val="0"/>
      <w:marRight w:val="0"/>
      <w:marTop w:val="0"/>
      <w:marBottom w:val="0"/>
      <w:divBdr>
        <w:top w:val="none" w:sz="0" w:space="0" w:color="auto"/>
        <w:left w:val="none" w:sz="0" w:space="0" w:color="auto"/>
        <w:bottom w:val="none" w:sz="0" w:space="0" w:color="auto"/>
        <w:right w:val="none" w:sz="0" w:space="0" w:color="auto"/>
      </w:divBdr>
    </w:div>
    <w:div w:id="1136099027">
      <w:bodyDiv w:val="1"/>
      <w:marLeft w:val="0"/>
      <w:marRight w:val="0"/>
      <w:marTop w:val="0"/>
      <w:marBottom w:val="0"/>
      <w:divBdr>
        <w:top w:val="none" w:sz="0" w:space="0" w:color="auto"/>
        <w:left w:val="none" w:sz="0" w:space="0" w:color="auto"/>
        <w:bottom w:val="none" w:sz="0" w:space="0" w:color="auto"/>
        <w:right w:val="none" w:sz="0" w:space="0" w:color="auto"/>
      </w:divBdr>
    </w:div>
    <w:div w:id="1142036934">
      <w:bodyDiv w:val="1"/>
      <w:marLeft w:val="0"/>
      <w:marRight w:val="0"/>
      <w:marTop w:val="0"/>
      <w:marBottom w:val="0"/>
      <w:divBdr>
        <w:top w:val="none" w:sz="0" w:space="0" w:color="auto"/>
        <w:left w:val="none" w:sz="0" w:space="0" w:color="auto"/>
        <w:bottom w:val="none" w:sz="0" w:space="0" w:color="auto"/>
        <w:right w:val="none" w:sz="0" w:space="0" w:color="auto"/>
      </w:divBdr>
    </w:div>
    <w:div w:id="1211070150">
      <w:bodyDiv w:val="1"/>
      <w:marLeft w:val="0"/>
      <w:marRight w:val="0"/>
      <w:marTop w:val="0"/>
      <w:marBottom w:val="0"/>
      <w:divBdr>
        <w:top w:val="none" w:sz="0" w:space="0" w:color="auto"/>
        <w:left w:val="none" w:sz="0" w:space="0" w:color="auto"/>
        <w:bottom w:val="none" w:sz="0" w:space="0" w:color="auto"/>
        <w:right w:val="none" w:sz="0" w:space="0" w:color="auto"/>
      </w:divBdr>
    </w:div>
    <w:div w:id="1276476947">
      <w:bodyDiv w:val="1"/>
      <w:marLeft w:val="0"/>
      <w:marRight w:val="0"/>
      <w:marTop w:val="0"/>
      <w:marBottom w:val="0"/>
      <w:divBdr>
        <w:top w:val="none" w:sz="0" w:space="0" w:color="auto"/>
        <w:left w:val="none" w:sz="0" w:space="0" w:color="auto"/>
        <w:bottom w:val="none" w:sz="0" w:space="0" w:color="auto"/>
        <w:right w:val="none" w:sz="0" w:space="0" w:color="auto"/>
      </w:divBdr>
    </w:div>
    <w:div w:id="1295134288">
      <w:bodyDiv w:val="1"/>
      <w:marLeft w:val="0"/>
      <w:marRight w:val="0"/>
      <w:marTop w:val="0"/>
      <w:marBottom w:val="0"/>
      <w:divBdr>
        <w:top w:val="none" w:sz="0" w:space="0" w:color="auto"/>
        <w:left w:val="none" w:sz="0" w:space="0" w:color="auto"/>
        <w:bottom w:val="none" w:sz="0" w:space="0" w:color="auto"/>
        <w:right w:val="none" w:sz="0" w:space="0" w:color="auto"/>
      </w:divBdr>
    </w:div>
    <w:div w:id="1300650189">
      <w:bodyDiv w:val="1"/>
      <w:marLeft w:val="0"/>
      <w:marRight w:val="0"/>
      <w:marTop w:val="0"/>
      <w:marBottom w:val="0"/>
      <w:divBdr>
        <w:top w:val="none" w:sz="0" w:space="0" w:color="auto"/>
        <w:left w:val="none" w:sz="0" w:space="0" w:color="auto"/>
        <w:bottom w:val="none" w:sz="0" w:space="0" w:color="auto"/>
        <w:right w:val="none" w:sz="0" w:space="0" w:color="auto"/>
      </w:divBdr>
    </w:div>
    <w:div w:id="1334602497">
      <w:bodyDiv w:val="1"/>
      <w:marLeft w:val="0"/>
      <w:marRight w:val="0"/>
      <w:marTop w:val="0"/>
      <w:marBottom w:val="0"/>
      <w:divBdr>
        <w:top w:val="none" w:sz="0" w:space="0" w:color="auto"/>
        <w:left w:val="none" w:sz="0" w:space="0" w:color="auto"/>
        <w:bottom w:val="none" w:sz="0" w:space="0" w:color="auto"/>
        <w:right w:val="none" w:sz="0" w:space="0" w:color="auto"/>
      </w:divBdr>
    </w:div>
    <w:div w:id="1347173858">
      <w:bodyDiv w:val="1"/>
      <w:marLeft w:val="0"/>
      <w:marRight w:val="0"/>
      <w:marTop w:val="0"/>
      <w:marBottom w:val="0"/>
      <w:divBdr>
        <w:top w:val="none" w:sz="0" w:space="0" w:color="auto"/>
        <w:left w:val="none" w:sz="0" w:space="0" w:color="auto"/>
        <w:bottom w:val="none" w:sz="0" w:space="0" w:color="auto"/>
        <w:right w:val="none" w:sz="0" w:space="0" w:color="auto"/>
      </w:divBdr>
    </w:div>
    <w:div w:id="1447650933">
      <w:bodyDiv w:val="1"/>
      <w:marLeft w:val="0"/>
      <w:marRight w:val="0"/>
      <w:marTop w:val="0"/>
      <w:marBottom w:val="0"/>
      <w:divBdr>
        <w:top w:val="none" w:sz="0" w:space="0" w:color="auto"/>
        <w:left w:val="none" w:sz="0" w:space="0" w:color="auto"/>
        <w:bottom w:val="none" w:sz="0" w:space="0" w:color="auto"/>
        <w:right w:val="none" w:sz="0" w:space="0" w:color="auto"/>
      </w:divBdr>
    </w:div>
    <w:div w:id="1459299878">
      <w:bodyDiv w:val="1"/>
      <w:marLeft w:val="0"/>
      <w:marRight w:val="0"/>
      <w:marTop w:val="0"/>
      <w:marBottom w:val="0"/>
      <w:divBdr>
        <w:top w:val="none" w:sz="0" w:space="0" w:color="auto"/>
        <w:left w:val="none" w:sz="0" w:space="0" w:color="auto"/>
        <w:bottom w:val="none" w:sz="0" w:space="0" w:color="auto"/>
        <w:right w:val="none" w:sz="0" w:space="0" w:color="auto"/>
      </w:divBdr>
    </w:div>
    <w:div w:id="1475685629">
      <w:bodyDiv w:val="1"/>
      <w:marLeft w:val="0"/>
      <w:marRight w:val="0"/>
      <w:marTop w:val="0"/>
      <w:marBottom w:val="0"/>
      <w:divBdr>
        <w:top w:val="none" w:sz="0" w:space="0" w:color="auto"/>
        <w:left w:val="none" w:sz="0" w:space="0" w:color="auto"/>
        <w:bottom w:val="none" w:sz="0" w:space="0" w:color="auto"/>
        <w:right w:val="none" w:sz="0" w:space="0" w:color="auto"/>
      </w:divBdr>
    </w:div>
    <w:div w:id="1532568014">
      <w:bodyDiv w:val="1"/>
      <w:marLeft w:val="0"/>
      <w:marRight w:val="0"/>
      <w:marTop w:val="0"/>
      <w:marBottom w:val="0"/>
      <w:divBdr>
        <w:top w:val="none" w:sz="0" w:space="0" w:color="auto"/>
        <w:left w:val="none" w:sz="0" w:space="0" w:color="auto"/>
        <w:bottom w:val="none" w:sz="0" w:space="0" w:color="auto"/>
        <w:right w:val="none" w:sz="0" w:space="0" w:color="auto"/>
      </w:divBdr>
    </w:div>
    <w:div w:id="1534882079">
      <w:bodyDiv w:val="1"/>
      <w:marLeft w:val="0"/>
      <w:marRight w:val="0"/>
      <w:marTop w:val="0"/>
      <w:marBottom w:val="0"/>
      <w:divBdr>
        <w:top w:val="none" w:sz="0" w:space="0" w:color="auto"/>
        <w:left w:val="none" w:sz="0" w:space="0" w:color="auto"/>
        <w:bottom w:val="none" w:sz="0" w:space="0" w:color="auto"/>
        <w:right w:val="none" w:sz="0" w:space="0" w:color="auto"/>
      </w:divBdr>
    </w:div>
    <w:div w:id="1562016071">
      <w:bodyDiv w:val="1"/>
      <w:marLeft w:val="0"/>
      <w:marRight w:val="0"/>
      <w:marTop w:val="0"/>
      <w:marBottom w:val="0"/>
      <w:divBdr>
        <w:top w:val="none" w:sz="0" w:space="0" w:color="auto"/>
        <w:left w:val="none" w:sz="0" w:space="0" w:color="auto"/>
        <w:bottom w:val="none" w:sz="0" w:space="0" w:color="auto"/>
        <w:right w:val="none" w:sz="0" w:space="0" w:color="auto"/>
      </w:divBdr>
    </w:div>
    <w:div w:id="1572814473">
      <w:bodyDiv w:val="1"/>
      <w:marLeft w:val="0"/>
      <w:marRight w:val="0"/>
      <w:marTop w:val="0"/>
      <w:marBottom w:val="0"/>
      <w:divBdr>
        <w:top w:val="none" w:sz="0" w:space="0" w:color="auto"/>
        <w:left w:val="none" w:sz="0" w:space="0" w:color="auto"/>
        <w:bottom w:val="none" w:sz="0" w:space="0" w:color="auto"/>
        <w:right w:val="none" w:sz="0" w:space="0" w:color="auto"/>
      </w:divBdr>
    </w:div>
    <w:div w:id="1611547607">
      <w:bodyDiv w:val="1"/>
      <w:marLeft w:val="0"/>
      <w:marRight w:val="0"/>
      <w:marTop w:val="0"/>
      <w:marBottom w:val="0"/>
      <w:divBdr>
        <w:top w:val="none" w:sz="0" w:space="0" w:color="auto"/>
        <w:left w:val="none" w:sz="0" w:space="0" w:color="auto"/>
        <w:bottom w:val="none" w:sz="0" w:space="0" w:color="auto"/>
        <w:right w:val="none" w:sz="0" w:space="0" w:color="auto"/>
      </w:divBdr>
    </w:div>
    <w:div w:id="1637951143">
      <w:bodyDiv w:val="1"/>
      <w:marLeft w:val="0"/>
      <w:marRight w:val="0"/>
      <w:marTop w:val="0"/>
      <w:marBottom w:val="0"/>
      <w:divBdr>
        <w:top w:val="none" w:sz="0" w:space="0" w:color="auto"/>
        <w:left w:val="none" w:sz="0" w:space="0" w:color="auto"/>
        <w:bottom w:val="none" w:sz="0" w:space="0" w:color="auto"/>
        <w:right w:val="none" w:sz="0" w:space="0" w:color="auto"/>
      </w:divBdr>
    </w:div>
    <w:div w:id="1646352712">
      <w:bodyDiv w:val="1"/>
      <w:marLeft w:val="0"/>
      <w:marRight w:val="0"/>
      <w:marTop w:val="0"/>
      <w:marBottom w:val="0"/>
      <w:divBdr>
        <w:top w:val="none" w:sz="0" w:space="0" w:color="auto"/>
        <w:left w:val="none" w:sz="0" w:space="0" w:color="auto"/>
        <w:bottom w:val="none" w:sz="0" w:space="0" w:color="auto"/>
        <w:right w:val="none" w:sz="0" w:space="0" w:color="auto"/>
      </w:divBdr>
    </w:div>
    <w:div w:id="1663854696">
      <w:bodyDiv w:val="1"/>
      <w:marLeft w:val="0"/>
      <w:marRight w:val="0"/>
      <w:marTop w:val="0"/>
      <w:marBottom w:val="0"/>
      <w:divBdr>
        <w:top w:val="none" w:sz="0" w:space="0" w:color="auto"/>
        <w:left w:val="none" w:sz="0" w:space="0" w:color="auto"/>
        <w:bottom w:val="none" w:sz="0" w:space="0" w:color="auto"/>
        <w:right w:val="none" w:sz="0" w:space="0" w:color="auto"/>
      </w:divBdr>
    </w:div>
    <w:div w:id="1726562059">
      <w:bodyDiv w:val="1"/>
      <w:marLeft w:val="0"/>
      <w:marRight w:val="0"/>
      <w:marTop w:val="0"/>
      <w:marBottom w:val="0"/>
      <w:divBdr>
        <w:top w:val="none" w:sz="0" w:space="0" w:color="auto"/>
        <w:left w:val="none" w:sz="0" w:space="0" w:color="auto"/>
        <w:bottom w:val="none" w:sz="0" w:space="0" w:color="auto"/>
        <w:right w:val="none" w:sz="0" w:space="0" w:color="auto"/>
      </w:divBdr>
    </w:div>
    <w:div w:id="1726681699">
      <w:bodyDiv w:val="1"/>
      <w:marLeft w:val="0"/>
      <w:marRight w:val="0"/>
      <w:marTop w:val="0"/>
      <w:marBottom w:val="0"/>
      <w:divBdr>
        <w:top w:val="none" w:sz="0" w:space="0" w:color="auto"/>
        <w:left w:val="none" w:sz="0" w:space="0" w:color="auto"/>
        <w:bottom w:val="none" w:sz="0" w:space="0" w:color="auto"/>
        <w:right w:val="none" w:sz="0" w:space="0" w:color="auto"/>
      </w:divBdr>
    </w:div>
    <w:div w:id="1743872469">
      <w:bodyDiv w:val="1"/>
      <w:marLeft w:val="0"/>
      <w:marRight w:val="0"/>
      <w:marTop w:val="0"/>
      <w:marBottom w:val="0"/>
      <w:divBdr>
        <w:top w:val="none" w:sz="0" w:space="0" w:color="auto"/>
        <w:left w:val="none" w:sz="0" w:space="0" w:color="auto"/>
        <w:bottom w:val="none" w:sz="0" w:space="0" w:color="auto"/>
        <w:right w:val="none" w:sz="0" w:space="0" w:color="auto"/>
      </w:divBdr>
    </w:div>
    <w:div w:id="1749034635">
      <w:bodyDiv w:val="1"/>
      <w:marLeft w:val="0"/>
      <w:marRight w:val="0"/>
      <w:marTop w:val="0"/>
      <w:marBottom w:val="0"/>
      <w:divBdr>
        <w:top w:val="none" w:sz="0" w:space="0" w:color="auto"/>
        <w:left w:val="none" w:sz="0" w:space="0" w:color="auto"/>
        <w:bottom w:val="none" w:sz="0" w:space="0" w:color="auto"/>
        <w:right w:val="none" w:sz="0" w:space="0" w:color="auto"/>
      </w:divBdr>
    </w:div>
    <w:div w:id="1788310927">
      <w:bodyDiv w:val="1"/>
      <w:marLeft w:val="0"/>
      <w:marRight w:val="0"/>
      <w:marTop w:val="0"/>
      <w:marBottom w:val="0"/>
      <w:divBdr>
        <w:top w:val="none" w:sz="0" w:space="0" w:color="auto"/>
        <w:left w:val="none" w:sz="0" w:space="0" w:color="auto"/>
        <w:bottom w:val="none" w:sz="0" w:space="0" w:color="auto"/>
        <w:right w:val="none" w:sz="0" w:space="0" w:color="auto"/>
      </w:divBdr>
    </w:div>
    <w:div w:id="1805464244">
      <w:bodyDiv w:val="1"/>
      <w:marLeft w:val="0"/>
      <w:marRight w:val="0"/>
      <w:marTop w:val="0"/>
      <w:marBottom w:val="0"/>
      <w:divBdr>
        <w:top w:val="none" w:sz="0" w:space="0" w:color="auto"/>
        <w:left w:val="none" w:sz="0" w:space="0" w:color="auto"/>
        <w:bottom w:val="none" w:sz="0" w:space="0" w:color="auto"/>
        <w:right w:val="none" w:sz="0" w:space="0" w:color="auto"/>
      </w:divBdr>
    </w:div>
    <w:div w:id="1860855006">
      <w:bodyDiv w:val="1"/>
      <w:marLeft w:val="0"/>
      <w:marRight w:val="0"/>
      <w:marTop w:val="0"/>
      <w:marBottom w:val="0"/>
      <w:divBdr>
        <w:top w:val="none" w:sz="0" w:space="0" w:color="auto"/>
        <w:left w:val="none" w:sz="0" w:space="0" w:color="auto"/>
        <w:bottom w:val="none" w:sz="0" w:space="0" w:color="auto"/>
        <w:right w:val="none" w:sz="0" w:space="0" w:color="auto"/>
      </w:divBdr>
    </w:div>
    <w:div w:id="1909337722">
      <w:bodyDiv w:val="1"/>
      <w:marLeft w:val="0"/>
      <w:marRight w:val="0"/>
      <w:marTop w:val="0"/>
      <w:marBottom w:val="0"/>
      <w:divBdr>
        <w:top w:val="none" w:sz="0" w:space="0" w:color="auto"/>
        <w:left w:val="none" w:sz="0" w:space="0" w:color="auto"/>
        <w:bottom w:val="none" w:sz="0" w:space="0" w:color="auto"/>
        <w:right w:val="none" w:sz="0" w:space="0" w:color="auto"/>
      </w:divBdr>
    </w:div>
    <w:div w:id="1934241426">
      <w:bodyDiv w:val="1"/>
      <w:marLeft w:val="0"/>
      <w:marRight w:val="0"/>
      <w:marTop w:val="0"/>
      <w:marBottom w:val="0"/>
      <w:divBdr>
        <w:top w:val="none" w:sz="0" w:space="0" w:color="auto"/>
        <w:left w:val="none" w:sz="0" w:space="0" w:color="auto"/>
        <w:bottom w:val="none" w:sz="0" w:space="0" w:color="auto"/>
        <w:right w:val="none" w:sz="0" w:space="0" w:color="auto"/>
      </w:divBdr>
    </w:div>
    <w:div w:id="1984652807">
      <w:bodyDiv w:val="1"/>
      <w:marLeft w:val="0"/>
      <w:marRight w:val="0"/>
      <w:marTop w:val="0"/>
      <w:marBottom w:val="0"/>
      <w:divBdr>
        <w:top w:val="none" w:sz="0" w:space="0" w:color="auto"/>
        <w:left w:val="none" w:sz="0" w:space="0" w:color="auto"/>
        <w:bottom w:val="none" w:sz="0" w:space="0" w:color="auto"/>
        <w:right w:val="none" w:sz="0" w:space="0" w:color="auto"/>
      </w:divBdr>
    </w:div>
    <w:div w:id="2004353521">
      <w:bodyDiv w:val="1"/>
      <w:marLeft w:val="0"/>
      <w:marRight w:val="0"/>
      <w:marTop w:val="0"/>
      <w:marBottom w:val="0"/>
      <w:divBdr>
        <w:top w:val="none" w:sz="0" w:space="0" w:color="auto"/>
        <w:left w:val="none" w:sz="0" w:space="0" w:color="auto"/>
        <w:bottom w:val="none" w:sz="0" w:space="0" w:color="auto"/>
        <w:right w:val="none" w:sz="0" w:space="0" w:color="auto"/>
      </w:divBdr>
    </w:div>
    <w:div w:id="2012684040">
      <w:bodyDiv w:val="1"/>
      <w:marLeft w:val="0"/>
      <w:marRight w:val="0"/>
      <w:marTop w:val="0"/>
      <w:marBottom w:val="0"/>
      <w:divBdr>
        <w:top w:val="none" w:sz="0" w:space="0" w:color="auto"/>
        <w:left w:val="none" w:sz="0" w:space="0" w:color="auto"/>
        <w:bottom w:val="none" w:sz="0" w:space="0" w:color="auto"/>
        <w:right w:val="none" w:sz="0" w:space="0" w:color="auto"/>
      </w:divBdr>
    </w:div>
    <w:div w:id="2037189202">
      <w:bodyDiv w:val="1"/>
      <w:marLeft w:val="0"/>
      <w:marRight w:val="0"/>
      <w:marTop w:val="0"/>
      <w:marBottom w:val="0"/>
      <w:divBdr>
        <w:top w:val="none" w:sz="0" w:space="0" w:color="auto"/>
        <w:left w:val="none" w:sz="0" w:space="0" w:color="auto"/>
        <w:bottom w:val="none" w:sz="0" w:space="0" w:color="auto"/>
        <w:right w:val="none" w:sz="0" w:space="0" w:color="auto"/>
      </w:divBdr>
    </w:div>
    <w:div w:id="2039507876">
      <w:bodyDiv w:val="1"/>
      <w:marLeft w:val="0"/>
      <w:marRight w:val="0"/>
      <w:marTop w:val="0"/>
      <w:marBottom w:val="0"/>
      <w:divBdr>
        <w:top w:val="none" w:sz="0" w:space="0" w:color="auto"/>
        <w:left w:val="none" w:sz="0" w:space="0" w:color="auto"/>
        <w:bottom w:val="none" w:sz="0" w:space="0" w:color="auto"/>
        <w:right w:val="none" w:sz="0" w:space="0" w:color="auto"/>
      </w:divBdr>
    </w:div>
    <w:div w:id="2055083246">
      <w:bodyDiv w:val="1"/>
      <w:marLeft w:val="0"/>
      <w:marRight w:val="0"/>
      <w:marTop w:val="0"/>
      <w:marBottom w:val="0"/>
      <w:divBdr>
        <w:top w:val="none" w:sz="0" w:space="0" w:color="auto"/>
        <w:left w:val="none" w:sz="0" w:space="0" w:color="auto"/>
        <w:bottom w:val="none" w:sz="0" w:space="0" w:color="auto"/>
        <w:right w:val="none" w:sz="0" w:space="0" w:color="auto"/>
      </w:divBdr>
    </w:div>
    <w:div w:id="2074697014">
      <w:bodyDiv w:val="1"/>
      <w:marLeft w:val="0"/>
      <w:marRight w:val="0"/>
      <w:marTop w:val="0"/>
      <w:marBottom w:val="0"/>
      <w:divBdr>
        <w:top w:val="none" w:sz="0" w:space="0" w:color="auto"/>
        <w:left w:val="none" w:sz="0" w:space="0" w:color="auto"/>
        <w:bottom w:val="none" w:sz="0" w:space="0" w:color="auto"/>
        <w:right w:val="none" w:sz="0" w:space="0" w:color="auto"/>
      </w:divBdr>
    </w:div>
    <w:div w:id="2079201711">
      <w:bodyDiv w:val="1"/>
      <w:marLeft w:val="0"/>
      <w:marRight w:val="0"/>
      <w:marTop w:val="0"/>
      <w:marBottom w:val="0"/>
      <w:divBdr>
        <w:top w:val="none" w:sz="0" w:space="0" w:color="auto"/>
        <w:left w:val="none" w:sz="0" w:space="0" w:color="auto"/>
        <w:bottom w:val="none" w:sz="0" w:space="0" w:color="auto"/>
        <w:right w:val="none" w:sz="0" w:space="0" w:color="auto"/>
      </w:divBdr>
    </w:div>
    <w:div w:id="2082829123">
      <w:bodyDiv w:val="1"/>
      <w:marLeft w:val="0"/>
      <w:marRight w:val="0"/>
      <w:marTop w:val="0"/>
      <w:marBottom w:val="0"/>
      <w:divBdr>
        <w:top w:val="none" w:sz="0" w:space="0" w:color="auto"/>
        <w:left w:val="none" w:sz="0" w:space="0" w:color="auto"/>
        <w:bottom w:val="none" w:sz="0" w:space="0" w:color="auto"/>
        <w:right w:val="none" w:sz="0" w:space="0" w:color="auto"/>
      </w:divBdr>
    </w:div>
    <w:div w:id="2108234821">
      <w:bodyDiv w:val="1"/>
      <w:marLeft w:val="0"/>
      <w:marRight w:val="0"/>
      <w:marTop w:val="0"/>
      <w:marBottom w:val="0"/>
      <w:divBdr>
        <w:top w:val="none" w:sz="0" w:space="0" w:color="auto"/>
        <w:left w:val="none" w:sz="0" w:space="0" w:color="auto"/>
        <w:bottom w:val="none" w:sz="0" w:space="0" w:color="auto"/>
        <w:right w:val="none" w:sz="0" w:space="0" w:color="auto"/>
      </w:divBdr>
    </w:div>
    <w:div w:id="2123840559">
      <w:bodyDiv w:val="1"/>
      <w:marLeft w:val="0"/>
      <w:marRight w:val="0"/>
      <w:marTop w:val="0"/>
      <w:marBottom w:val="0"/>
      <w:divBdr>
        <w:top w:val="none" w:sz="0" w:space="0" w:color="auto"/>
        <w:left w:val="none" w:sz="0" w:space="0" w:color="auto"/>
        <w:bottom w:val="none" w:sz="0" w:space="0" w:color="auto"/>
        <w:right w:val="none" w:sz="0" w:space="0" w:color="auto"/>
      </w:divBdr>
    </w:div>
    <w:div w:id="214410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4/relationships/chartEx" Target="charts/chartEx1.xml"/><Relationship Id="rId26" Type="http://schemas.openxmlformats.org/officeDocument/2006/relationships/chart" Target="charts/chart7.xml"/><Relationship Id="rId39" Type="http://schemas.openxmlformats.org/officeDocument/2006/relationships/chart" Target="charts/chart20.xml"/><Relationship Id="rId21" Type="http://schemas.openxmlformats.org/officeDocument/2006/relationships/chart" Target="charts/chart2.xml"/><Relationship Id="rId34" Type="http://schemas.openxmlformats.org/officeDocument/2006/relationships/chart" Target="charts/chart15.xml"/><Relationship Id="rId42" Type="http://schemas.openxmlformats.org/officeDocument/2006/relationships/chart" Target="charts/chart23.xml"/><Relationship Id="rId47" Type="http://schemas.openxmlformats.org/officeDocument/2006/relationships/chart" Target="charts/chart28.xml"/><Relationship Id="rId50" Type="http://schemas.openxmlformats.org/officeDocument/2006/relationships/chart" Target="charts/chart31.xml"/><Relationship Id="rId55" Type="http://schemas.openxmlformats.org/officeDocument/2006/relationships/chart" Target="charts/chart36.xml"/><Relationship Id="rId63" Type="http://schemas.openxmlformats.org/officeDocument/2006/relationships/chart" Target="charts/chart4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hart" Target="charts/chart1.xml"/><Relationship Id="rId29" Type="http://schemas.openxmlformats.org/officeDocument/2006/relationships/chart" Target="charts/chart10.xml"/><Relationship Id="rId41" Type="http://schemas.openxmlformats.org/officeDocument/2006/relationships/chart" Target="charts/chart22.xml"/><Relationship Id="rId54" Type="http://schemas.openxmlformats.org/officeDocument/2006/relationships/chart" Target="charts/chart35.xml"/><Relationship Id="rId62" Type="http://schemas.openxmlformats.org/officeDocument/2006/relationships/chart" Target="charts/chart4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g"/><Relationship Id="rId24" Type="http://schemas.openxmlformats.org/officeDocument/2006/relationships/chart" Target="charts/chart5.xml"/><Relationship Id="rId32" Type="http://schemas.openxmlformats.org/officeDocument/2006/relationships/chart" Target="charts/chart13.xml"/><Relationship Id="rId37" Type="http://schemas.openxmlformats.org/officeDocument/2006/relationships/chart" Target="charts/chart18.xml"/><Relationship Id="rId40" Type="http://schemas.openxmlformats.org/officeDocument/2006/relationships/chart" Target="charts/chart21.xml"/><Relationship Id="rId45" Type="http://schemas.openxmlformats.org/officeDocument/2006/relationships/chart" Target="charts/chart26.xml"/><Relationship Id="rId53" Type="http://schemas.openxmlformats.org/officeDocument/2006/relationships/chart" Target="charts/chart34.xml"/><Relationship Id="rId58" Type="http://schemas.openxmlformats.org/officeDocument/2006/relationships/chart" Target="charts/chart39.xm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chart" Target="charts/chart4.xml"/><Relationship Id="rId28" Type="http://schemas.openxmlformats.org/officeDocument/2006/relationships/chart" Target="charts/chart9.xml"/><Relationship Id="rId36" Type="http://schemas.openxmlformats.org/officeDocument/2006/relationships/chart" Target="charts/chart17.xml"/><Relationship Id="rId49" Type="http://schemas.openxmlformats.org/officeDocument/2006/relationships/chart" Target="charts/chart30.xml"/><Relationship Id="rId57" Type="http://schemas.openxmlformats.org/officeDocument/2006/relationships/chart" Target="charts/chart38.xml"/><Relationship Id="rId61" Type="http://schemas.openxmlformats.org/officeDocument/2006/relationships/chart" Target="charts/chart42.xml"/><Relationship Id="rId10" Type="http://schemas.openxmlformats.org/officeDocument/2006/relationships/image" Target="media/image10.jpg"/><Relationship Id="rId19" Type="http://schemas.openxmlformats.org/officeDocument/2006/relationships/image" Target="media/image4.png"/><Relationship Id="rId31" Type="http://schemas.openxmlformats.org/officeDocument/2006/relationships/chart" Target="charts/chart12.xml"/><Relationship Id="rId44" Type="http://schemas.openxmlformats.org/officeDocument/2006/relationships/chart" Target="charts/chart25.xml"/><Relationship Id="rId52" Type="http://schemas.openxmlformats.org/officeDocument/2006/relationships/chart" Target="charts/chart33.xml"/><Relationship Id="rId60" Type="http://schemas.openxmlformats.org/officeDocument/2006/relationships/chart" Target="charts/chart41.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 Id="rId22" Type="http://schemas.openxmlformats.org/officeDocument/2006/relationships/chart" Target="charts/chart3.xml"/><Relationship Id="rId27" Type="http://schemas.openxmlformats.org/officeDocument/2006/relationships/chart" Target="charts/chart8.xml"/><Relationship Id="rId30" Type="http://schemas.openxmlformats.org/officeDocument/2006/relationships/chart" Target="charts/chart11.xml"/><Relationship Id="rId35" Type="http://schemas.openxmlformats.org/officeDocument/2006/relationships/chart" Target="charts/chart16.xml"/><Relationship Id="rId43" Type="http://schemas.openxmlformats.org/officeDocument/2006/relationships/chart" Target="charts/chart24.xml"/><Relationship Id="rId48" Type="http://schemas.openxmlformats.org/officeDocument/2006/relationships/chart" Target="charts/chart29.xml"/><Relationship Id="rId56" Type="http://schemas.openxmlformats.org/officeDocument/2006/relationships/chart" Target="charts/chart37.xml"/><Relationship Id="rId64" Type="http://schemas.openxmlformats.org/officeDocument/2006/relationships/header" Target="header5.xml"/><Relationship Id="rId8" Type="http://schemas.openxmlformats.org/officeDocument/2006/relationships/image" Target="media/image1.jpg"/><Relationship Id="rId51" Type="http://schemas.openxmlformats.org/officeDocument/2006/relationships/chart" Target="charts/chart32.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chart" Target="charts/chart6.xml"/><Relationship Id="rId33" Type="http://schemas.openxmlformats.org/officeDocument/2006/relationships/chart" Target="charts/chart14.xml"/><Relationship Id="rId38" Type="http://schemas.openxmlformats.org/officeDocument/2006/relationships/chart" Target="charts/chart19.xml"/><Relationship Id="rId46" Type="http://schemas.openxmlformats.org/officeDocument/2006/relationships/chart" Target="charts/chart27.xml"/><Relationship Id="rId59" Type="http://schemas.openxmlformats.org/officeDocument/2006/relationships/chart" Target="charts/chart40.xml"/></Relationships>
</file>

<file path=word/_rels/header2.xml.rels><?xml version="1.0" encoding="UTF-8" standalone="yes"?>
<Relationships xmlns="http://schemas.openxmlformats.org/package/2006/relationships"><Relationship Id="rId2" Type="http://schemas.openxmlformats.org/officeDocument/2006/relationships/image" Target="media/image30.jpg"/><Relationship Id="rId1" Type="http://schemas.openxmlformats.org/officeDocument/2006/relationships/image" Target="media/image3.jpg"/></Relationships>
</file>

<file path=word/charts/_rels/chart1.xml.rels><?xml version="1.0" encoding="UTF-8" standalone="yes"?>
<Relationships xmlns="http://schemas.openxmlformats.org/package/2006/relationships"><Relationship Id="rId3" Type="http://schemas.openxmlformats.org/officeDocument/2006/relationships/oleObject" Target="file:///D:\IPAR-2018\23-AgriData\Mise%20en%20place%20la%20plateforme%20d'acteurs\Atelier%20AgriData%2011-12-13%20septembre%202019\Partcipants\Liste%20pan&#233;liste_ih.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package" Target="../embeddings/Feuille_de_calcul_Microsoft_Excel1.xlsx"/><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40.xml"/><Relationship Id="rId1" Type="http://schemas.microsoft.com/office/2011/relationships/chartStyle" Target="style40.xml"/></Relationships>
</file>

<file path=word/charts/_rels/chart41.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41.xml"/><Relationship Id="rId1" Type="http://schemas.microsoft.com/office/2011/relationships/chartStyle" Target="style41.xml"/></Relationships>
</file>

<file path=word/charts/_rels/chart42.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42.xml"/><Relationship Id="rId1" Type="http://schemas.microsoft.com/office/2011/relationships/chartStyle" Target="style42.xml"/></Relationships>
</file>

<file path=word/charts/_rels/chart43.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43.xml"/><Relationship Id="rId1" Type="http://schemas.microsoft.com/office/2011/relationships/chartStyle" Target="style43.xml"/></Relationships>
</file>

<file path=word/charts/_rels/chart44.xml.rels><?xml version="1.0" encoding="UTF-8" standalone="yes"?>
<Relationships xmlns="http://schemas.openxmlformats.org/package/2006/relationships"><Relationship Id="rId3" Type="http://schemas.openxmlformats.org/officeDocument/2006/relationships/oleObject" Target="file:///C:\Users\paris\Documents\tableau%20des%20r&#233;sultants%20enqu&#234;tes%20assurance%20indicielle%20b&#233;tail.xlsx" TargetMode="External"/><Relationship Id="rId2" Type="http://schemas.microsoft.com/office/2011/relationships/chartColorStyle" Target="colors44.xml"/><Relationship Id="rId1" Type="http://schemas.microsoft.com/office/2011/relationships/chartStyle" Target="style44.xml"/></Relationships>
</file>

<file path=word/charts/_rels/chartEx1.xml.rels><?xml version="1.0" encoding="UTF-8" standalone="yes"?>
<Relationships xmlns="http://schemas.openxmlformats.org/package/2006/relationships"><Relationship Id="rId3" Type="http://schemas.microsoft.com/office/2011/relationships/chartColorStyle" Target="colors110.xml"/><Relationship Id="rId2" Type="http://schemas.microsoft.com/office/2011/relationships/chartStyle" Target="style110.xml"/><Relationship Id="rId1" Type="http://schemas.openxmlformats.org/officeDocument/2006/relationships/oleObject" Target="file:///C:\Users\paris\Documents\tableau%20des%20r&#233;sultants%20enqu&#234;tes%20assurance%20indicielle%20b&#233;tai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US" sz="1100"/>
              <a:t>Répartition</a:t>
            </a:r>
            <a:r>
              <a:rPr lang="en-US" sz="1100" baseline="0"/>
              <a:t> de l'échantillon par type d'élevage</a:t>
            </a:r>
            <a:endParaRPr lang="en-US" sz="1100"/>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manualLayout>
          <c:layoutTarget val="inner"/>
          <c:xMode val="edge"/>
          <c:yMode val="edge"/>
          <c:x val="0.30776377952755912"/>
          <c:y val="0.17047777513667697"/>
          <c:w val="0.43209186351706036"/>
          <c:h val="0.43137290866927824"/>
        </c:manualLayout>
      </c:layout>
      <c:pieChart>
        <c:varyColors val="1"/>
        <c:ser>
          <c:idx val="0"/>
          <c:order val="0"/>
          <c:tx>
            <c:strRef>
              <c:f>Feuil1!$D$5</c:f>
              <c:strCache>
                <c:ptCount val="1"/>
                <c:pt idx="0">
                  <c:v> Nb de ménages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0F96-4CE8-8B11-2AE7AC5C3EE7}"/>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0F96-4CE8-8B11-2AE7AC5C3EE7}"/>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0F96-4CE8-8B11-2AE7AC5C3EE7}"/>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0F96-4CE8-8B11-2AE7AC5C3EE7}"/>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0F96-4CE8-8B11-2AE7AC5C3EE7}"/>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0F96-4CE8-8B11-2AE7AC5C3EE7}"/>
              </c:ext>
            </c:extLst>
          </c:dPt>
          <c:cat>
            <c:strRef>
              <c:f>Feuil1!$C$6:$C$11</c:f>
              <c:strCache>
                <c:ptCount val="6"/>
                <c:pt idx="0">
                  <c:v>pastorale</c:v>
                </c:pt>
                <c:pt idx="1">
                  <c:v>agro-pastorale à dominance agricole</c:v>
                </c:pt>
                <c:pt idx="2">
                  <c:v>d'embouche et de commerce du bétail</c:v>
                </c:pt>
                <c:pt idx="3">
                  <c:v>agro-pastorale à dominance pastoral</c:v>
                </c:pt>
                <c:pt idx="4">
                  <c:v>de transit</c:v>
                </c:pt>
                <c:pt idx="5">
                  <c:v>agro-pastorale par excellence</c:v>
                </c:pt>
              </c:strCache>
            </c:strRef>
          </c:cat>
          <c:val>
            <c:numRef>
              <c:f>Feuil1!$D$6:$D$11</c:f>
              <c:numCache>
                <c:formatCode>General</c:formatCode>
                <c:ptCount val="6"/>
                <c:pt idx="0">
                  <c:v>80</c:v>
                </c:pt>
                <c:pt idx="1">
                  <c:v>80</c:v>
                </c:pt>
                <c:pt idx="2">
                  <c:v>20</c:v>
                </c:pt>
                <c:pt idx="3">
                  <c:v>40</c:v>
                </c:pt>
                <c:pt idx="4">
                  <c:v>20</c:v>
                </c:pt>
                <c:pt idx="5">
                  <c:v>60</c:v>
                </c:pt>
              </c:numCache>
            </c:numRef>
          </c:val>
          <c:extLst xmlns:c16r2="http://schemas.microsoft.com/office/drawing/2015/06/chart">
            <c:ext xmlns:c16="http://schemas.microsoft.com/office/drawing/2014/chart" uri="{C3380CC4-5D6E-409C-BE32-E72D297353CC}">
              <c16:uniqueId val="{0000000C-0F96-4CE8-8B11-2AE7AC5C3EE7}"/>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5.1145106861642316E-2"/>
          <c:y val="0.59357126948149785"/>
          <c:w val="0.94056692913385831"/>
          <c:h val="0.3779082107249073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'taille du ménage'!$B$1</c:f>
              <c:strCache>
                <c:ptCount val="1"/>
                <c:pt idx="0">
                  <c:v>Taille du ménage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'taille du ménage'!$A$2:$A$6</c:f>
              <c:strCache>
                <c:ptCount val="5"/>
                <c:pt idx="0">
                  <c:v>supérieur à 40</c:v>
                </c:pt>
                <c:pt idx="1">
                  <c:v>entre 0 et 5</c:v>
                </c:pt>
                <c:pt idx="2">
                  <c:v>entre 20 et 40</c:v>
                </c:pt>
                <c:pt idx="3">
                  <c:v>entre 10 et 20</c:v>
                </c:pt>
                <c:pt idx="4">
                  <c:v>entre 5 et 10</c:v>
                </c:pt>
              </c:strCache>
            </c:strRef>
          </c:cat>
          <c:val>
            <c:numRef>
              <c:f>'taille du ménage'!$B$2:$B$6</c:f>
              <c:numCache>
                <c:formatCode>General</c:formatCode>
                <c:ptCount val="5"/>
                <c:pt idx="0">
                  <c:v>1</c:v>
                </c:pt>
                <c:pt idx="1">
                  <c:v>5.67</c:v>
                </c:pt>
                <c:pt idx="2">
                  <c:v>6.67</c:v>
                </c:pt>
                <c:pt idx="3">
                  <c:v>43</c:v>
                </c:pt>
                <c:pt idx="4">
                  <c:v>43.67</c:v>
                </c:pt>
              </c:numCache>
            </c:numRef>
          </c:val>
          <c:extLst xmlns:c16r2="http://schemas.microsoft.com/office/drawing/2015/06/chart">
            <c:ext xmlns:c16="http://schemas.microsoft.com/office/drawing/2014/chart" uri="{C3380CC4-5D6E-409C-BE32-E72D297353CC}">
              <c16:uniqueId val="{00000000-DA73-4023-ADA7-1C07A09CD131}"/>
            </c:ext>
          </c:extLst>
        </c:ser>
        <c:dLbls>
          <c:dLblPos val="outEnd"/>
          <c:showLegendKey val="0"/>
          <c:showVal val="1"/>
          <c:showCatName val="0"/>
          <c:showSerName val="0"/>
          <c:showPercent val="0"/>
          <c:showBubbleSize val="0"/>
        </c:dLbls>
        <c:gapWidth val="219"/>
        <c:overlap val="-27"/>
        <c:axId val="226445112"/>
        <c:axId val="226445504"/>
      </c:barChart>
      <c:catAx>
        <c:axId val="226445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26445504"/>
        <c:crosses val="autoZero"/>
        <c:auto val="1"/>
        <c:lblAlgn val="ctr"/>
        <c:lblOffset val="100"/>
        <c:noMultiLvlLbl val="0"/>
      </c:catAx>
      <c:valAx>
        <c:axId val="226445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26445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pieChart>
        <c:varyColors val="1"/>
        <c:ser>
          <c:idx val="0"/>
          <c:order val="0"/>
          <c:tx>
            <c:strRef>
              <c:f>genre!$B$1</c:f>
              <c:strCache>
                <c:ptCount val="1"/>
                <c:pt idx="0">
                  <c:v>Sexe du responsable du bétail possédé par le ménage</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BD6E-49EF-B1E0-328B2FE4A043}"/>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BD6E-49EF-B1E0-328B2FE4A043}"/>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fr-FR"/>
              </a:p>
            </c:txPr>
            <c:dLblPos val="outEnd"/>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ext>
            </c:extLst>
          </c:dLbls>
          <c:cat>
            <c:strRef>
              <c:f>genre!$A$2:$A$3</c:f>
              <c:strCache>
                <c:ptCount val="2"/>
                <c:pt idx="0">
                  <c:v>Homme</c:v>
                </c:pt>
                <c:pt idx="1">
                  <c:v>Femme</c:v>
                </c:pt>
              </c:strCache>
            </c:strRef>
          </c:cat>
          <c:val>
            <c:numRef>
              <c:f>genre!$B$2:$B$3</c:f>
              <c:numCache>
                <c:formatCode>General</c:formatCode>
                <c:ptCount val="2"/>
                <c:pt idx="0">
                  <c:v>87.33</c:v>
                </c:pt>
                <c:pt idx="1">
                  <c:v>12.67</c:v>
                </c:pt>
              </c:numCache>
            </c:numRef>
          </c:val>
          <c:extLst xmlns:c16r2="http://schemas.microsoft.com/office/drawing/2015/06/chart">
            <c:ext xmlns:c16="http://schemas.microsoft.com/office/drawing/2014/chart" uri="{C3380CC4-5D6E-409C-BE32-E72D297353CC}">
              <c16:uniqueId val="{00000004-BD6E-49EF-B1E0-328B2FE4A043}"/>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Les</a:t>
            </a:r>
            <a:r>
              <a:rPr lang="fr-FR" baseline="0"/>
              <a:t> moyens de transports possédés par le ménage</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'moyen de transport'!$B$1</c:f>
              <c:strCache>
                <c:ptCount val="1"/>
                <c:pt idx="0">
                  <c:v>Oui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'moyen de transport'!$A$2:$A$6</c:f>
              <c:strCache>
                <c:ptCount val="5"/>
                <c:pt idx="0">
                  <c:v>Tracteur</c:v>
                </c:pt>
                <c:pt idx="1">
                  <c:v>Véhicule à motor</c:v>
                </c:pt>
                <c:pt idx="2">
                  <c:v>Bicyclette</c:v>
                </c:pt>
                <c:pt idx="3">
                  <c:v>Motocyclette</c:v>
                </c:pt>
                <c:pt idx="4">
                  <c:v>Charrette</c:v>
                </c:pt>
              </c:strCache>
            </c:strRef>
          </c:cat>
          <c:val>
            <c:numRef>
              <c:f>'moyen de transport'!$B$2:$B$6</c:f>
              <c:numCache>
                <c:formatCode>General</c:formatCode>
                <c:ptCount val="5"/>
                <c:pt idx="0">
                  <c:v>2</c:v>
                </c:pt>
                <c:pt idx="1">
                  <c:v>8</c:v>
                </c:pt>
                <c:pt idx="2">
                  <c:v>19</c:v>
                </c:pt>
                <c:pt idx="3">
                  <c:v>26</c:v>
                </c:pt>
                <c:pt idx="4">
                  <c:v>238</c:v>
                </c:pt>
              </c:numCache>
            </c:numRef>
          </c:val>
          <c:extLst xmlns:c16r2="http://schemas.microsoft.com/office/drawing/2015/06/chart">
            <c:ext xmlns:c16="http://schemas.microsoft.com/office/drawing/2014/chart" uri="{C3380CC4-5D6E-409C-BE32-E72D297353CC}">
              <c16:uniqueId val="{00000000-8A6E-47BF-A197-EFB5F291E003}"/>
            </c:ext>
          </c:extLst>
        </c:ser>
        <c:ser>
          <c:idx val="1"/>
          <c:order val="1"/>
          <c:tx>
            <c:strRef>
              <c:f>'moyen de transport'!$C$1</c:f>
              <c:strCache>
                <c:ptCount val="1"/>
                <c:pt idx="0">
                  <c:v>Non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'moyen de transport'!$A$2:$A$6</c:f>
              <c:strCache>
                <c:ptCount val="5"/>
                <c:pt idx="0">
                  <c:v>Tracteur</c:v>
                </c:pt>
                <c:pt idx="1">
                  <c:v>Véhicule à motor</c:v>
                </c:pt>
                <c:pt idx="2">
                  <c:v>Bicyclette</c:v>
                </c:pt>
                <c:pt idx="3">
                  <c:v>Motocyclette</c:v>
                </c:pt>
                <c:pt idx="4">
                  <c:v>Charrette</c:v>
                </c:pt>
              </c:strCache>
            </c:strRef>
          </c:cat>
          <c:val>
            <c:numRef>
              <c:f>'moyen de transport'!$C$2:$C$6</c:f>
              <c:numCache>
                <c:formatCode>General</c:formatCode>
                <c:ptCount val="5"/>
                <c:pt idx="0">
                  <c:v>298</c:v>
                </c:pt>
                <c:pt idx="1">
                  <c:v>292</c:v>
                </c:pt>
                <c:pt idx="2">
                  <c:v>281</c:v>
                </c:pt>
                <c:pt idx="3">
                  <c:v>274</c:v>
                </c:pt>
                <c:pt idx="4">
                  <c:v>62</c:v>
                </c:pt>
              </c:numCache>
            </c:numRef>
          </c:val>
          <c:extLst xmlns:c16r2="http://schemas.microsoft.com/office/drawing/2015/06/chart">
            <c:ext xmlns:c16="http://schemas.microsoft.com/office/drawing/2014/chart" uri="{C3380CC4-5D6E-409C-BE32-E72D297353CC}">
              <c16:uniqueId val="{00000001-8A6E-47BF-A197-EFB5F291E003}"/>
            </c:ext>
          </c:extLst>
        </c:ser>
        <c:dLbls>
          <c:dLblPos val="outEnd"/>
          <c:showLegendKey val="0"/>
          <c:showVal val="1"/>
          <c:showCatName val="0"/>
          <c:showSerName val="0"/>
          <c:showPercent val="0"/>
          <c:showBubbleSize val="0"/>
        </c:dLbls>
        <c:gapWidth val="219"/>
        <c:overlap val="-27"/>
        <c:axId val="226446680"/>
        <c:axId val="116864296"/>
      </c:barChart>
      <c:catAx>
        <c:axId val="226446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6864296"/>
        <c:crosses val="autoZero"/>
        <c:auto val="1"/>
        <c:lblAlgn val="ctr"/>
        <c:lblOffset val="100"/>
        <c:noMultiLvlLbl val="0"/>
      </c:catAx>
      <c:valAx>
        <c:axId val="116864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26446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Nombre de moyens de transports dans le ménage (en % de</a:t>
            </a:r>
            <a:r>
              <a:rPr lang="en-US" baseline="0"/>
              <a:t> ménage enquêtés)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'moyen de transport'!$C$9</c:f>
              <c:strCache>
                <c:ptCount val="1"/>
                <c:pt idx="0">
                  <c:v>Nombre de moyen de transports dans le ménage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'moyen de transport'!$B$10:$B$14</c:f>
              <c:numCache>
                <c:formatCode>General</c:formatCode>
                <c:ptCount val="5"/>
                <c:pt idx="0">
                  <c:v>3</c:v>
                </c:pt>
                <c:pt idx="1">
                  <c:v>4</c:v>
                </c:pt>
                <c:pt idx="2">
                  <c:v>2</c:v>
                </c:pt>
                <c:pt idx="3">
                  <c:v>0</c:v>
                </c:pt>
                <c:pt idx="4">
                  <c:v>1</c:v>
                </c:pt>
              </c:numCache>
            </c:numRef>
          </c:cat>
          <c:val>
            <c:numRef>
              <c:f>'moyen de transport'!$C$10:$C$14</c:f>
              <c:numCache>
                <c:formatCode>General</c:formatCode>
                <c:ptCount val="5"/>
                <c:pt idx="0">
                  <c:v>1</c:v>
                </c:pt>
                <c:pt idx="1">
                  <c:v>1.33</c:v>
                </c:pt>
                <c:pt idx="2">
                  <c:v>10.33</c:v>
                </c:pt>
                <c:pt idx="3">
                  <c:v>18.670000000000002</c:v>
                </c:pt>
                <c:pt idx="4">
                  <c:v>68.67</c:v>
                </c:pt>
              </c:numCache>
            </c:numRef>
          </c:val>
          <c:extLst xmlns:c16r2="http://schemas.microsoft.com/office/drawing/2015/06/chart">
            <c:ext xmlns:c16="http://schemas.microsoft.com/office/drawing/2014/chart" uri="{C3380CC4-5D6E-409C-BE32-E72D297353CC}">
              <c16:uniqueId val="{00000000-FDFE-4E94-BBB3-F465208CAB31}"/>
            </c:ext>
          </c:extLst>
        </c:ser>
        <c:dLbls>
          <c:dLblPos val="outEnd"/>
          <c:showLegendKey val="0"/>
          <c:showVal val="1"/>
          <c:showCatName val="0"/>
          <c:showSerName val="0"/>
          <c:showPercent val="0"/>
          <c:showBubbleSize val="0"/>
        </c:dLbls>
        <c:gapWidth val="219"/>
        <c:overlap val="-27"/>
        <c:axId val="116865080"/>
        <c:axId val="116865472"/>
      </c:barChart>
      <c:catAx>
        <c:axId val="116865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6865472"/>
        <c:crosses val="autoZero"/>
        <c:auto val="1"/>
        <c:lblAlgn val="ctr"/>
        <c:lblOffset val="100"/>
        <c:noMultiLvlLbl val="0"/>
      </c:catAx>
      <c:valAx>
        <c:axId val="116865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6865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Matériels</a:t>
            </a:r>
            <a:r>
              <a:rPr lang="fr-FR" baseline="0"/>
              <a:t> électroniques possédés par le ménage</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Feuil8!$B$1</c:f>
              <c:strCache>
                <c:ptCount val="1"/>
                <c:pt idx="0">
                  <c:v>Oui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Feuil8!$A$2:$A$8</c:f>
              <c:strCache>
                <c:ptCount val="7"/>
                <c:pt idx="0">
                  <c:v>Ordinateur  fixe ou portable</c:v>
                </c:pt>
                <c:pt idx="1">
                  <c:v>Tablette éléctronique</c:v>
                </c:pt>
                <c:pt idx="2">
                  <c:v>Refrigérateur ou congélateur</c:v>
                </c:pt>
                <c:pt idx="3">
                  <c:v>Ventilateur</c:v>
                </c:pt>
                <c:pt idx="4">
                  <c:v>Télévision</c:v>
                </c:pt>
                <c:pt idx="5">
                  <c:v>Poste radio</c:v>
                </c:pt>
                <c:pt idx="6">
                  <c:v>Téléphone portable</c:v>
                </c:pt>
              </c:strCache>
            </c:strRef>
          </c:cat>
          <c:val>
            <c:numRef>
              <c:f>Feuil8!$B$2:$B$8</c:f>
              <c:numCache>
                <c:formatCode>General</c:formatCode>
                <c:ptCount val="7"/>
                <c:pt idx="0">
                  <c:v>9</c:v>
                </c:pt>
                <c:pt idx="1">
                  <c:v>10</c:v>
                </c:pt>
                <c:pt idx="2">
                  <c:v>18</c:v>
                </c:pt>
                <c:pt idx="3">
                  <c:v>33</c:v>
                </c:pt>
                <c:pt idx="4">
                  <c:v>61</c:v>
                </c:pt>
                <c:pt idx="5">
                  <c:v>224</c:v>
                </c:pt>
                <c:pt idx="6">
                  <c:v>295</c:v>
                </c:pt>
              </c:numCache>
            </c:numRef>
          </c:val>
          <c:extLst xmlns:c16r2="http://schemas.microsoft.com/office/drawing/2015/06/chart">
            <c:ext xmlns:c16="http://schemas.microsoft.com/office/drawing/2014/chart" uri="{C3380CC4-5D6E-409C-BE32-E72D297353CC}">
              <c16:uniqueId val="{00000000-8AB8-46EC-B84F-A5427D57041F}"/>
            </c:ext>
          </c:extLst>
        </c:ser>
        <c:ser>
          <c:idx val="1"/>
          <c:order val="1"/>
          <c:tx>
            <c:strRef>
              <c:f>Feuil8!$C$1</c:f>
              <c:strCache>
                <c:ptCount val="1"/>
                <c:pt idx="0">
                  <c:v>Non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Feuil8!$A$2:$A$8</c:f>
              <c:strCache>
                <c:ptCount val="7"/>
                <c:pt idx="0">
                  <c:v>Ordinateur  fixe ou portable</c:v>
                </c:pt>
                <c:pt idx="1">
                  <c:v>Tablette éléctronique</c:v>
                </c:pt>
                <c:pt idx="2">
                  <c:v>Refrigérateur ou congélateur</c:v>
                </c:pt>
                <c:pt idx="3">
                  <c:v>Ventilateur</c:v>
                </c:pt>
                <c:pt idx="4">
                  <c:v>Télévision</c:v>
                </c:pt>
                <c:pt idx="5">
                  <c:v>Poste radio</c:v>
                </c:pt>
                <c:pt idx="6">
                  <c:v>Téléphone portable</c:v>
                </c:pt>
              </c:strCache>
            </c:strRef>
          </c:cat>
          <c:val>
            <c:numRef>
              <c:f>Feuil8!$C$2:$C$8</c:f>
              <c:numCache>
                <c:formatCode>General</c:formatCode>
                <c:ptCount val="7"/>
                <c:pt idx="0">
                  <c:v>291</c:v>
                </c:pt>
                <c:pt idx="1">
                  <c:v>290</c:v>
                </c:pt>
                <c:pt idx="2">
                  <c:v>282</c:v>
                </c:pt>
                <c:pt idx="3">
                  <c:v>267</c:v>
                </c:pt>
                <c:pt idx="4">
                  <c:v>239</c:v>
                </c:pt>
                <c:pt idx="5">
                  <c:v>76</c:v>
                </c:pt>
                <c:pt idx="6">
                  <c:v>5</c:v>
                </c:pt>
              </c:numCache>
            </c:numRef>
          </c:val>
          <c:extLst xmlns:c16r2="http://schemas.microsoft.com/office/drawing/2015/06/chart">
            <c:ext xmlns:c16="http://schemas.microsoft.com/office/drawing/2014/chart" uri="{C3380CC4-5D6E-409C-BE32-E72D297353CC}">
              <c16:uniqueId val="{00000001-8AB8-46EC-B84F-A5427D57041F}"/>
            </c:ext>
          </c:extLst>
        </c:ser>
        <c:dLbls>
          <c:dLblPos val="outEnd"/>
          <c:showLegendKey val="0"/>
          <c:showVal val="1"/>
          <c:showCatName val="0"/>
          <c:showSerName val="0"/>
          <c:showPercent val="0"/>
          <c:showBubbleSize val="0"/>
        </c:dLbls>
        <c:gapWidth val="219"/>
        <c:overlap val="-27"/>
        <c:axId val="325936160"/>
        <c:axId val="325936552"/>
      </c:barChart>
      <c:catAx>
        <c:axId val="325936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5936552"/>
        <c:crosses val="autoZero"/>
        <c:auto val="1"/>
        <c:lblAlgn val="ctr"/>
        <c:lblOffset val="100"/>
        <c:noMultiLvlLbl val="0"/>
      </c:catAx>
      <c:valAx>
        <c:axId val="325936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5936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Nombre</a:t>
            </a:r>
            <a:r>
              <a:rPr lang="en-US" baseline="0"/>
              <a:t> de matériels possédés (en % du nombre de ménage)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Feuil8!$C$14</c:f>
              <c:strCache>
                <c:ptCount val="1"/>
                <c:pt idx="0">
                  <c:v>Equipement électronique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Feuil8!$B$15:$B$22</c:f>
              <c:numCache>
                <c:formatCode>General</c:formatCode>
                <c:ptCount val="8"/>
                <c:pt idx="0">
                  <c:v>6</c:v>
                </c:pt>
                <c:pt idx="1">
                  <c:v>7</c:v>
                </c:pt>
                <c:pt idx="2">
                  <c:v>0</c:v>
                </c:pt>
                <c:pt idx="3">
                  <c:v>5</c:v>
                </c:pt>
                <c:pt idx="4">
                  <c:v>4</c:v>
                </c:pt>
                <c:pt idx="5">
                  <c:v>3</c:v>
                </c:pt>
                <c:pt idx="6">
                  <c:v>1</c:v>
                </c:pt>
                <c:pt idx="7">
                  <c:v>2</c:v>
                </c:pt>
              </c:numCache>
            </c:numRef>
          </c:cat>
          <c:val>
            <c:numRef>
              <c:f>Feuil8!$C$15:$C$22</c:f>
              <c:numCache>
                <c:formatCode>General</c:formatCode>
                <c:ptCount val="8"/>
                <c:pt idx="0">
                  <c:v>0.33</c:v>
                </c:pt>
                <c:pt idx="1">
                  <c:v>0.33</c:v>
                </c:pt>
                <c:pt idx="2">
                  <c:v>1.33</c:v>
                </c:pt>
                <c:pt idx="3">
                  <c:v>5</c:v>
                </c:pt>
                <c:pt idx="4">
                  <c:v>6.67</c:v>
                </c:pt>
                <c:pt idx="5">
                  <c:v>9</c:v>
                </c:pt>
                <c:pt idx="6">
                  <c:v>21</c:v>
                </c:pt>
                <c:pt idx="7">
                  <c:v>56.33</c:v>
                </c:pt>
              </c:numCache>
            </c:numRef>
          </c:val>
          <c:extLst xmlns:c16r2="http://schemas.microsoft.com/office/drawing/2015/06/chart">
            <c:ext xmlns:c16="http://schemas.microsoft.com/office/drawing/2014/chart" uri="{C3380CC4-5D6E-409C-BE32-E72D297353CC}">
              <c16:uniqueId val="{00000000-E924-4E1B-85C5-5F9C6662BD5E}"/>
            </c:ext>
          </c:extLst>
        </c:ser>
        <c:dLbls>
          <c:dLblPos val="outEnd"/>
          <c:showLegendKey val="0"/>
          <c:showVal val="1"/>
          <c:showCatName val="0"/>
          <c:showSerName val="0"/>
          <c:showPercent val="0"/>
          <c:showBubbleSize val="0"/>
        </c:dLbls>
        <c:gapWidth val="219"/>
        <c:overlap val="-27"/>
        <c:axId val="325937336"/>
        <c:axId val="325937728"/>
      </c:barChart>
      <c:catAx>
        <c:axId val="325937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5937728"/>
        <c:crosses val="autoZero"/>
        <c:auto val="1"/>
        <c:lblAlgn val="ctr"/>
        <c:lblOffset val="100"/>
        <c:noMultiLvlLbl val="0"/>
      </c:catAx>
      <c:valAx>
        <c:axId val="325937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5937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Sources</a:t>
            </a:r>
            <a:r>
              <a:rPr lang="fr-FR" baseline="0"/>
              <a:t> de revenu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Feuil9!$B$1</c:f>
              <c:strCache>
                <c:ptCount val="1"/>
                <c:pt idx="0">
                  <c:v>Oui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Feuil9!$A$2:$A$12</c:f>
              <c:strCache>
                <c:ptCount val="11"/>
                <c:pt idx="0">
                  <c:v>Produits d'extraction minière</c:v>
                </c:pt>
                <c:pt idx="1">
                  <c:v>Filets de sécurité sociales</c:v>
                </c:pt>
                <c:pt idx="2">
                  <c:v>Produits de chasse et cueillete</c:v>
                </c:pt>
                <c:pt idx="3">
                  <c:v>Artisanat</c:v>
                </c:pt>
                <c:pt idx="4">
                  <c:v>Transport</c:v>
                </c:pt>
                <c:pt idx="5">
                  <c:v>Salaire</c:v>
                </c:pt>
                <c:pt idx="6">
                  <c:v>Transferts des migrants</c:v>
                </c:pt>
                <c:pt idx="7">
                  <c:v>Autres</c:v>
                </c:pt>
                <c:pt idx="8">
                  <c:v>Commerce</c:v>
                </c:pt>
                <c:pt idx="9">
                  <c:v>Production agricole</c:v>
                </c:pt>
                <c:pt idx="10">
                  <c:v>Bétail et autres produits d'élevage</c:v>
                </c:pt>
              </c:strCache>
            </c:strRef>
          </c:cat>
          <c:val>
            <c:numRef>
              <c:f>Feuil9!$B$2:$B$12</c:f>
              <c:numCache>
                <c:formatCode>General</c:formatCode>
                <c:ptCount val="11"/>
                <c:pt idx="0">
                  <c:v>1</c:v>
                </c:pt>
                <c:pt idx="1">
                  <c:v>3</c:v>
                </c:pt>
                <c:pt idx="2">
                  <c:v>5</c:v>
                </c:pt>
                <c:pt idx="3">
                  <c:v>11</c:v>
                </c:pt>
                <c:pt idx="4">
                  <c:v>12</c:v>
                </c:pt>
                <c:pt idx="5">
                  <c:v>19</c:v>
                </c:pt>
                <c:pt idx="6">
                  <c:v>36</c:v>
                </c:pt>
                <c:pt idx="7">
                  <c:v>43</c:v>
                </c:pt>
                <c:pt idx="8">
                  <c:v>70</c:v>
                </c:pt>
                <c:pt idx="9">
                  <c:v>129</c:v>
                </c:pt>
                <c:pt idx="10">
                  <c:v>231</c:v>
                </c:pt>
              </c:numCache>
            </c:numRef>
          </c:val>
          <c:extLst xmlns:c16r2="http://schemas.microsoft.com/office/drawing/2015/06/chart">
            <c:ext xmlns:c16="http://schemas.microsoft.com/office/drawing/2014/chart" uri="{C3380CC4-5D6E-409C-BE32-E72D297353CC}">
              <c16:uniqueId val="{00000000-358A-4264-8F99-D768FA83B604}"/>
            </c:ext>
          </c:extLst>
        </c:ser>
        <c:ser>
          <c:idx val="1"/>
          <c:order val="1"/>
          <c:tx>
            <c:strRef>
              <c:f>Feuil9!$C$1</c:f>
              <c:strCache>
                <c:ptCount val="1"/>
                <c:pt idx="0">
                  <c:v>Non</c:v>
                </c:pt>
              </c:strCache>
            </c:strRef>
          </c:tx>
          <c:spPr>
            <a:solidFill>
              <a:schemeClr val="accent2"/>
            </a:solidFill>
            <a:ln>
              <a:noFill/>
            </a:ln>
            <a:effectLst/>
          </c:spPr>
          <c:invertIfNegative val="0"/>
          <c:dLbls>
            <c:delete val="1"/>
          </c:dLbls>
          <c:cat>
            <c:strRef>
              <c:f>Feuil9!$A$2:$A$12</c:f>
              <c:strCache>
                <c:ptCount val="11"/>
                <c:pt idx="0">
                  <c:v>Produits d'extraction minière</c:v>
                </c:pt>
                <c:pt idx="1">
                  <c:v>Filets de sécurité sociales</c:v>
                </c:pt>
                <c:pt idx="2">
                  <c:v>Produits de chasse et cueillete</c:v>
                </c:pt>
                <c:pt idx="3">
                  <c:v>Artisanat</c:v>
                </c:pt>
                <c:pt idx="4">
                  <c:v>Transport</c:v>
                </c:pt>
                <c:pt idx="5">
                  <c:v>Salaire</c:v>
                </c:pt>
                <c:pt idx="6">
                  <c:v>Transferts des migrants</c:v>
                </c:pt>
                <c:pt idx="7">
                  <c:v>Autres</c:v>
                </c:pt>
                <c:pt idx="8">
                  <c:v>Commerce</c:v>
                </c:pt>
                <c:pt idx="9">
                  <c:v>Production agricole</c:v>
                </c:pt>
                <c:pt idx="10">
                  <c:v>Bétail et autres produits d'élevage</c:v>
                </c:pt>
              </c:strCache>
            </c:strRef>
          </c:cat>
          <c:val>
            <c:numRef>
              <c:f>Feuil9!$C$2:$C$12</c:f>
              <c:numCache>
                <c:formatCode>General</c:formatCode>
                <c:ptCount val="11"/>
                <c:pt idx="0">
                  <c:v>299</c:v>
                </c:pt>
                <c:pt idx="1">
                  <c:v>297</c:v>
                </c:pt>
                <c:pt idx="2">
                  <c:v>295</c:v>
                </c:pt>
                <c:pt idx="3">
                  <c:v>289</c:v>
                </c:pt>
                <c:pt idx="4">
                  <c:v>288</c:v>
                </c:pt>
                <c:pt idx="5">
                  <c:v>281</c:v>
                </c:pt>
                <c:pt idx="6">
                  <c:v>264</c:v>
                </c:pt>
                <c:pt idx="7">
                  <c:v>257</c:v>
                </c:pt>
                <c:pt idx="8">
                  <c:v>230</c:v>
                </c:pt>
                <c:pt idx="9">
                  <c:v>171</c:v>
                </c:pt>
                <c:pt idx="10">
                  <c:v>69</c:v>
                </c:pt>
              </c:numCache>
            </c:numRef>
          </c:val>
          <c:extLst xmlns:c16r2="http://schemas.microsoft.com/office/drawing/2015/06/chart">
            <c:ext xmlns:c16="http://schemas.microsoft.com/office/drawing/2014/chart" uri="{C3380CC4-5D6E-409C-BE32-E72D297353CC}">
              <c16:uniqueId val="{00000001-358A-4264-8F99-D768FA83B604}"/>
            </c:ext>
          </c:extLst>
        </c:ser>
        <c:dLbls>
          <c:dLblPos val="outEnd"/>
          <c:showLegendKey val="0"/>
          <c:showVal val="1"/>
          <c:showCatName val="0"/>
          <c:showSerName val="0"/>
          <c:showPercent val="0"/>
          <c:showBubbleSize val="0"/>
        </c:dLbls>
        <c:gapWidth val="219"/>
        <c:overlap val="-27"/>
        <c:axId val="320431632"/>
        <c:axId val="320432024"/>
      </c:barChart>
      <c:catAx>
        <c:axId val="320431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0432024"/>
        <c:crosses val="autoZero"/>
        <c:auto val="1"/>
        <c:lblAlgn val="ctr"/>
        <c:lblOffset val="100"/>
        <c:noMultiLvlLbl val="0"/>
      </c:catAx>
      <c:valAx>
        <c:axId val="320432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0431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Nombre de sources de revenu (en</a:t>
            </a:r>
            <a:r>
              <a:rPr lang="fr-FR" baseline="0"/>
              <a:t> %) </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Feuil9!$B$18</c:f>
              <c:strCache>
                <c:ptCount val="1"/>
                <c:pt idx="0">
                  <c:v>Nombre de source de revenu</c:v>
                </c:pt>
              </c:strCache>
            </c:strRef>
          </c:tx>
          <c:spPr>
            <a:solidFill>
              <a:schemeClr val="accent1"/>
            </a:solidFill>
            <a:ln>
              <a:noFill/>
            </a:ln>
            <a:effectLst/>
          </c:spPr>
          <c:invertIfNegative val="0"/>
          <c:dPt>
            <c:idx val="3"/>
            <c:invertIfNegative val="0"/>
            <c:bubble3D val="0"/>
            <c:spPr>
              <a:solidFill>
                <a:schemeClr val="accent1"/>
              </a:solidFill>
              <a:ln>
                <a:solidFill>
                  <a:schemeClr val="accent1"/>
                </a:solidFill>
              </a:ln>
              <a:effectLst/>
            </c:spPr>
            <c:extLst xmlns:c16r2="http://schemas.microsoft.com/office/drawing/2015/06/chart">
              <c:ext xmlns:c16="http://schemas.microsoft.com/office/drawing/2014/chart" uri="{C3380CC4-5D6E-409C-BE32-E72D297353CC}">
                <c16:uniqueId val="{00000001-D900-4EFC-A070-C2A2B7CC02A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Feuil9!$A$19:$A$23</c:f>
              <c:numCache>
                <c:formatCode>General</c:formatCode>
                <c:ptCount val="5"/>
                <c:pt idx="0">
                  <c:v>0</c:v>
                </c:pt>
                <c:pt idx="1">
                  <c:v>4</c:v>
                </c:pt>
                <c:pt idx="2">
                  <c:v>3</c:v>
                </c:pt>
                <c:pt idx="3">
                  <c:v>1</c:v>
                </c:pt>
                <c:pt idx="4">
                  <c:v>2</c:v>
                </c:pt>
              </c:numCache>
            </c:numRef>
          </c:cat>
          <c:val>
            <c:numRef>
              <c:f>Feuil9!$B$19:$B$23</c:f>
              <c:numCache>
                <c:formatCode>General</c:formatCode>
                <c:ptCount val="5"/>
                <c:pt idx="0">
                  <c:v>1</c:v>
                </c:pt>
                <c:pt idx="1">
                  <c:v>1.67</c:v>
                </c:pt>
                <c:pt idx="2">
                  <c:v>20.329999999999998</c:v>
                </c:pt>
                <c:pt idx="3">
                  <c:v>35</c:v>
                </c:pt>
                <c:pt idx="4">
                  <c:v>42</c:v>
                </c:pt>
              </c:numCache>
            </c:numRef>
          </c:val>
          <c:extLst xmlns:c16r2="http://schemas.microsoft.com/office/drawing/2015/06/chart">
            <c:ext xmlns:c16="http://schemas.microsoft.com/office/drawing/2014/chart" uri="{C3380CC4-5D6E-409C-BE32-E72D297353CC}">
              <c16:uniqueId val="{00000002-D900-4EFC-A070-C2A2B7CC02A4}"/>
            </c:ext>
          </c:extLst>
        </c:ser>
        <c:dLbls>
          <c:dLblPos val="outEnd"/>
          <c:showLegendKey val="0"/>
          <c:showVal val="1"/>
          <c:showCatName val="0"/>
          <c:showSerName val="0"/>
          <c:showPercent val="0"/>
          <c:showBubbleSize val="0"/>
        </c:dLbls>
        <c:gapWidth val="219"/>
        <c:overlap val="-27"/>
        <c:axId val="320432808"/>
        <c:axId val="320433288"/>
      </c:barChart>
      <c:catAx>
        <c:axId val="320432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0433288"/>
        <c:crosses val="autoZero"/>
        <c:auto val="1"/>
        <c:lblAlgn val="ctr"/>
        <c:lblOffset val="100"/>
        <c:noMultiLvlLbl val="0"/>
      </c:catAx>
      <c:valAx>
        <c:axId val="320433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0432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Chocs financiers subis par le ménage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'Chocs financiers subis'!$B$1</c:f>
              <c:strCache>
                <c:ptCount val="1"/>
                <c:pt idx="0">
                  <c:v>Oui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'Chocs financiers subis'!$A$2:$A$7</c:f>
              <c:strCache>
                <c:ptCount val="6"/>
                <c:pt idx="0">
                  <c:v>Hausse du coût des produits et services vétérinaires</c:v>
                </c:pt>
                <c:pt idx="1">
                  <c:v>Baisse du prix des autres produits vendus par le ménage</c:v>
                </c:pt>
                <c:pt idx="2">
                  <c:v>hausse du coût des intrants agricoles</c:v>
                </c:pt>
                <c:pt idx="3">
                  <c:v>Baisse du prix de vente du bétail du ménage</c:v>
                </c:pt>
                <c:pt idx="4">
                  <c:v>hausse du coût des denrées alimentaires</c:v>
                </c:pt>
                <c:pt idx="5">
                  <c:v>hausse du coût de l'alimentation du bétail</c:v>
                </c:pt>
              </c:strCache>
            </c:strRef>
          </c:cat>
          <c:val>
            <c:numRef>
              <c:f>'Chocs financiers subis'!$B$2:$B$7</c:f>
              <c:numCache>
                <c:formatCode>General</c:formatCode>
                <c:ptCount val="6"/>
                <c:pt idx="0">
                  <c:v>16</c:v>
                </c:pt>
                <c:pt idx="1">
                  <c:v>38</c:v>
                </c:pt>
                <c:pt idx="2">
                  <c:v>52</c:v>
                </c:pt>
                <c:pt idx="3">
                  <c:v>69</c:v>
                </c:pt>
                <c:pt idx="4">
                  <c:v>115</c:v>
                </c:pt>
                <c:pt idx="5">
                  <c:v>130</c:v>
                </c:pt>
              </c:numCache>
            </c:numRef>
          </c:val>
          <c:extLst xmlns:c16r2="http://schemas.microsoft.com/office/drawing/2015/06/chart">
            <c:ext xmlns:c16="http://schemas.microsoft.com/office/drawing/2014/chart" uri="{C3380CC4-5D6E-409C-BE32-E72D297353CC}">
              <c16:uniqueId val="{00000000-9A70-43EE-ADF6-1BDB71688CF5}"/>
            </c:ext>
          </c:extLst>
        </c:ser>
        <c:ser>
          <c:idx val="1"/>
          <c:order val="1"/>
          <c:tx>
            <c:strRef>
              <c:f>'Chocs financiers subis'!$C$1</c:f>
              <c:strCache>
                <c:ptCount val="1"/>
                <c:pt idx="0">
                  <c:v>Non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'Chocs financiers subis'!$A$2:$A$7</c:f>
              <c:strCache>
                <c:ptCount val="6"/>
                <c:pt idx="0">
                  <c:v>Hausse du coût des produits et services vétérinaires</c:v>
                </c:pt>
                <c:pt idx="1">
                  <c:v>Baisse du prix des autres produits vendus par le ménage</c:v>
                </c:pt>
                <c:pt idx="2">
                  <c:v>hausse du coût des intrants agricoles</c:v>
                </c:pt>
                <c:pt idx="3">
                  <c:v>Baisse du prix de vente du bétail du ménage</c:v>
                </c:pt>
                <c:pt idx="4">
                  <c:v>hausse du coût des denrées alimentaires</c:v>
                </c:pt>
                <c:pt idx="5">
                  <c:v>hausse du coût de l'alimentation du bétail</c:v>
                </c:pt>
              </c:strCache>
            </c:strRef>
          </c:cat>
          <c:val>
            <c:numRef>
              <c:f>'Chocs financiers subis'!$C$2:$C$7</c:f>
              <c:numCache>
                <c:formatCode>General</c:formatCode>
                <c:ptCount val="6"/>
                <c:pt idx="0">
                  <c:v>284</c:v>
                </c:pt>
                <c:pt idx="1">
                  <c:v>262</c:v>
                </c:pt>
                <c:pt idx="2">
                  <c:v>248</c:v>
                </c:pt>
                <c:pt idx="3">
                  <c:v>231</c:v>
                </c:pt>
                <c:pt idx="4">
                  <c:v>185</c:v>
                </c:pt>
                <c:pt idx="5">
                  <c:v>170</c:v>
                </c:pt>
              </c:numCache>
            </c:numRef>
          </c:val>
          <c:extLst xmlns:c16r2="http://schemas.microsoft.com/office/drawing/2015/06/chart">
            <c:ext xmlns:c16="http://schemas.microsoft.com/office/drawing/2014/chart" uri="{C3380CC4-5D6E-409C-BE32-E72D297353CC}">
              <c16:uniqueId val="{00000001-9A70-43EE-ADF6-1BDB71688CF5}"/>
            </c:ext>
          </c:extLst>
        </c:ser>
        <c:dLbls>
          <c:dLblPos val="outEnd"/>
          <c:showLegendKey val="0"/>
          <c:showVal val="1"/>
          <c:showCatName val="0"/>
          <c:showSerName val="0"/>
          <c:showPercent val="0"/>
          <c:showBubbleSize val="0"/>
        </c:dLbls>
        <c:gapWidth val="219"/>
        <c:overlap val="-27"/>
        <c:axId val="320434072"/>
        <c:axId val="320434464"/>
      </c:barChart>
      <c:catAx>
        <c:axId val="320434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0434464"/>
        <c:crosses val="autoZero"/>
        <c:auto val="1"/>
        <c:lblAlgn val="ctr"/>
        <c:lblOffset val="100"/>
        <c:noMultiLvlLbl val="0"/>
      </c:catAx>
      <c:valAx>
        <c:axId val="320434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0434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Nombre de chocs financiers déclarés (en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'Chocs financiers subis'!$B$11</c:f>
              <c:strCache>
                <c:ptCount val="1"/>
                <c:pt idx="0">
                  <c:v>Nombre de risques déclarés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'Chocs financiers subis'!$A$12:$A$18</c:f>
              <c:numCache>
                <c:formatCode>General</c:formatCode>
                <c:ptCount val="7"/>
                <c:pt idx="0">
                  <c:v>0</c:v>
                </c:pt>
                <c:pt idx="1">
                  <c:v>1</c:v>
                </c:pt>
                <c:pt idx="2">
                  <c:v>2</c:v>
                </c:pt>
                <c:pt idx="3">
                  <c:v>3</c:v>
                </c:pt>
                <c:pt idx="4">
                  <c:v>4</c:v>
                </c:pt>
                <c:pt idx="5">
                  <c:v>5</c:v>
                </c:pt>
                <c:pt idx="6">
                  <c:v>6</c:v>
                </c:pt>
              </c:numCache>
            </c:numRef>
          </c:cat>
          <c:val>
            <c:numRef>
              <c:f>'Chocs financiers subis'!$B$12:$B$18</c:f>
              <c:numCache>
                <c:formatCode>General</c:formatCode>
                <c:ptCount val="7"/>
                <c:pt idx="0">
                  <c:v>31</c:v>
                </c:pt>
                <c:pt idx="1">
                  <c:v>29.67</c:v>
                </c:pt>
                <c:pt idx="2">
                  <c:v>20</c:v>
                </c:pt>
                <c:pt idx="3">
                  <c:v>10.67</c:v>
                </c:pt>
                <c:pt idx="4">
                  <c:v>5.33</c:v>
                </c:pt>
                <c:pt idx="5">
                  <c:v>3</c:v>
                </c:pt>
                <c:pt idx="6">
                  <c:v>0.33</c:v>
                </c:pt>
              </c:numCache>
            </c:numRef>
          </c:val>
          <c:extLst xmlns:c16r2="http://schemas.microsoft.com/office/drawing/2015/06/chart">
            <c:ext xmlns:c16="http://schemas.microsoft.com/office/drawing/2014/chart" uri="{C3380CC4-5D6E-409C-BE32-E72D297353CC}">
              <c16:uniqueId val="{00000000-C725-44C3-9C72-46CEF328FD7B}"/>
            </c:ext>
          </c:extLst>
        </c:ser>
        <c:dLbls>
          <c:dLblPos val="outEnd"/>
          <c:showLegendKey val="0"/>
          <c:showVal val="1"/>
          <c:showCatName val="0"/>
          <c:showSerName val="0"/>
          <c:showPercent val="0"/>
          <c:showBubbleSize val="0"/>
        </c:dLbls>
        <c:gapWidth val="219"/>
        <c:overlap val="-27"/>
        <c:axId val="325614648"/>
        <c:axId val="325615040"/>
      </c:barChart>
      <c:catAx>
        <c:axId val="325614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5615040"/>
        <c:crosses val="autoZero"/>
        <c:auto val="1"/>
        <c:lblAlgn val="ctr"/>
        <c:lblOffset val="100"/>
        <c:noMultiLvlLbl val="0"/>
      </c:catAx>
      <c:valAx>
        <c:axId val="325615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56146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Chocs</a:t>
            </a:r>
            <a:r>
              <a:rPr lang="fr-FR" baseline="0"/>
              <a:t> non financiers subis</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'Chocs non financiers subis'!$B$1</c:f>
              <c:strCache>
                <c:ptCount val="1"/>
                <c:pt idx="0">
                  <c:v>Oui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'Chocs non financiers subis'!$A$2:$A$15</c:f>
              <c:strCache>
                <c:ptCount val="14"/>
                <c:pt idx="0">
                  <c:v>Autre chocs</c:v>
                </c:pt>
                <c:pt idx="1">
                  <c:v>Innondations</c:v>
                </c:pt>
                <c:pt idx="2">
                  <c:v>Décès d'un membre clé du ménage</c:v>
                </c:pt>
                <c:pt idx="3">
                  <c:v>Accident du bétail</c:v>
                </c:pt>
                <c:pt idx="4">
                  <c:v>Maladie des plantes</c:v>
                </c:pt>
                <c:pt idx="5">
                  <c:v>Conflits/insécurité</c:v>
                </c:pt>
                <c:pt idx="6">
                  <c:v>Manque d'eau d'breuvement du bétail</c:v>
                </c:pt>
                <c:pt idx="7">
                  <c:v>Pluies hors saisons</c:v>
                </c:pt>
                <c:pt idx="8">
                  <c:v>Oiseaux ravageurs</c:v>
                </c:pt>
                <c:pt idx="9">
                  <c:v>Maladie d'un membre du ménage</c:v>
                </c:pt>
                <c:pt idx="10">
                  <c:v>Vol du bétail</c:v>
                </c:pt>
                <c:pt idx="11">
                  <c:v>Pauses pluviométriques</c:v>
                </c:pt>
                <c:pt idx="12">
                  <c:v>Maladie des animaux</c:v>
                </c:pt>
                <c:pt idx="13">
                  <c:v>Pluies insuffisantes</c:v>
                </c:pt>
              </c:strCache>
            </c:strRef>
          </c:cat>
          <c:val>
            <c:numRef>
              <c:f>'Chocs non financiers subis'!$B$2:$B$15</c:f>
              <c:numCache>
                <c:formatCode>General</c:formatCode>
                <c:ptCount val="14"/>
                <c:pt idx="0">
                  <c:v>4</c:v>
                </c:pt>
                <c:pt idx="1">
                  <c:v>10</c:v>
                </c:pt>
                <c:pt idx="2">
                  <c:v>12</c:v>
                </c:pt>
                <c:pt idx="3">
                  <c:v>14</c:v>
                </c:pt>
                <c:pt idx="4">
                  <c:v>20</c:v>
                </c:pt>
                <c:pt idx="5">
                  <c:v>23</c:v>
                </c:pt>
                <c:pt idx="6">
                  <c:v>50</c:v>
                </c:pt>
                <c:pt idx="7">
                  <c:v>51</c:v>
                </c:pt>
                <c:pt idx="8">
                  <c:v>58</c:v>
                </c:pt>
                <c:pt idx="9">
                  <c:v>62</c:v>
                </c:pt>
                <c:pt idx="10">
                  <c:v>64</c:v>
                </c:pt>
                <c:pt idx="11">
                  <c:v>75</c:v>
                </c:pt>
                <c:pt idx="12">
                  <c:v>141</c:v>
                </c:pt>
                <c:pt idx="13">
                  <c:v>161</c:v>
                </c:pt>
              </c:numCache>
            </c:numRef>
          </c:val>
          <c:extLst xmlns:c16r2="http://schemas.microsoft.com/office/drawing/2015/06/chart">
            <c:ext xmlns:c16="http://schemas.microsoft.com/office/drawing/2014/chart" uri="{C3380CC4-5D6E-409C-BE32-E72D297353CC}">
              <c16:uniqueId val="{00000000-1927-409E-BD61-D5FF54FC8A84}"/>
            </c:ext>
          </c:extLst>
        </c:ser>
        <c:ser>
          <c:idx val="1"/>
          <c:order val="1"/>
          <c:tx>
            <c:strRef>
              <c:f>'Chocs non financiers subis'!$C$1</c:f>
              <c:strCache>
                <c:ptCount val="1"/>
                <c:pt idx="0">
                  <c:v>Non</c:v>
                </c:pt>
              </c:strCache>
            </c:strRef>
          </c:tx>
          <c:spPr>
            <a:solidFill>
              <a:schemeClr val="accent2"/>
            </a:solidFill>
            <a:ln>
              <a:noFill/>
            </a:ln>
            <a:effectLst/>
          </c:spPr>
          <c:invertIfNegative val="0"/>
          <c:dLbls>
            <c:delete val="1"/>
          </c:dLbls>
          <c:cat>
            <c:strRef>
              <c:f>'Chocs non financiers subis'!$A$2:$A$15</c:f>
              <c:strCache>
                <c:ptCount val="14"/>
                <c:pt idx="0">
                  <c:v>Autre chocs</c:v>
                </c:pt>
                <c:pt idx="1">
                  <c:v>Innondations</c:v>
                </c:pt>
                <c:pt idx="2">
                  <c:v>Décès d'un membre clé du ménage</c:v>
                </c:pt>
                <c:pt idx="3">
                  <c:v>Accident du bétail</c:v>
                </c:pt>
                <c:pt idx="4">
                  <c:v>Maladie des plantes</c:v>
                </c:pt>
                <c:pt idx="5">
                  <c:v>Conflits/insécurité</c:v>
                </c:pt>
                <c:pt idx="6">
                  <c:v>Manque d'eau d'breuvement du bétail</c:v>
                </c:pt>
                <c:pt idx="7">
                  <c:v>Pluies hors saisons</c:v>
                </c:pt>
                <c:pt idx="8">
                  <c:v>Oiseaux ravageurs</c:v>
                </c:pt>
                <c:pt idx="9">
                  <c:v>Maladie d'un membre du ménage</c:v>
                </c:pt>
                <c:pt idx="10">
                  <c:v>Vol du bétail</c:v>
                </c:pt>
                <c:pt idx="11">
                  <c:v>Pauses pluviométriques</c:v>
                </c:pt>
                <c:pt idx="12">
                  <c:v>Maladie des animaux</c:v>
                </c:pt>
                <c:pt idx="13">
                  <c:v>Pluies insuffisantes</c:v>
                </c:pt>
              </c:strCache>
            </c:strRef>
          </c:cat>
          <c:val>
            <c:numRef>
              <c:f>'Chocs non financiers subis'!$C$2:$C$15</c:f>
              <c:numCache>
                <c:formatCode>General</c:formatCode>
                <c:ptCount val="14"/>
                <c:pt idx="0">
                  <c:v>296</c:v>
                </c:pt>
                <c:pt idx="1">
                  <c:v>290</c:v>
                </c:pt>
                <c:pt idx="2">
                  <c:v>288</c:v>
                </c:pt>
                <c:pt idx="3">
                  <c:v>286</c:v>
                </c:pt>
                <c:pt idx="4">
                  <c:v>280</c:v>
                </c:pt>
                <c:pt idx="5">
                  <c:v>277</c:v>
                </c:pt>
                <c:pt idx="6">
                  <c:v>250</c:v>
                </c:pt>
                <c:pt idx="7">
                  <c:v>249</c:v>
                </c:pt>
                <c:pt idx="8">
                  <c:v>242</c:v>
                </c:pt>
                <c:pt idx="9">
                  <c:v>238</c:v>
                </c:pt>
                <c:pt idx="10">
                  <c:v>236</c:v>
                </c:pt>
                <c:pt idx="11">
                  <c:v>225</c:v>
                </c:pt>
                <c:pt idx="12">
                  <c:v>159</c:v>
                </c:pt>
                <c:pt idx="13">
                  <c:v>139</c:v>
                </c:pt>
              </c:numCache>
            </c:numRef>
          </c:val>
          <c:extLst xmlns:c16r2="http://schemas.microsoft.com/office/drawing/2015/06/chart">
            <c:ext xmlns:c16="http://schemas.microsoft.com/office/drawing/2014/chart" uri="{C3380CC4-5D6E-409C-BE32-E72D297353CC}">
              <c16:uniqueId val="{00000001-1927-409E-BD61-D5FF54FC8A84}"/>
            </c:ext>
          </c:extLst>
        </c:ser>
        <c:dLbls>
          <c:dLblPos val="outEnd"/>
          <c:showLegendKey val="0"/>
          <c:showVal val="1"/>
          <c:showCatName val="0"/>
          <c:showSerName val="0"/>
          <c:showPercent val="0"/>
          <c:showBubbleSize val="0"/>
        </c:dLbls>
        <c:gapWidth val="219"/>
        <c:overlap val="-27"/>
        <c:axId val="325615824"/>
        <c:axId val="325616216"/>
      </c:barChart>
      <c:catAx>
        <c:axId val="325615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5616216"/>
        <c:crosses val="autoZero"/>
        <c:auto val="1"/>
        <c:lblAlgn val="ctr"/>
        <c:lblOffset val="100"/>
        <c:noMultiLvlLbl val="0"/>
      </c:catAx>
      <c:valAx>
        <c:axId val="325616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5615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Nombre</a:t>
            </a:r>
            <a:r>
              <a:rPr lang="fr-FR" baseline="0"/>
              <a:t> de</a:t>
            </a:r>
            <a:r>
              <a:rPr lang="fr-FR"/>
              <a:t> chocs non financiers subis par éleveur (en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'Chocs non financiers subis'!$B$18</c:f>
              <c:strCache>
                <c:ptCount val="1"/>
                <c:pt idx="0">
                  <c:v>Chocs non financiers (en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'Chocs non financiers subis'!$A$19:$A$28</c:f>
              <c:numCache>
                <c:formatCode>General</c:formatCode>
                <c:ptCount val="10"/>
                <c:pt idx="0">
                  <c:v>9</c:v>
                </c:pt>
                <c:pt idx="1">
                  <c:v>8</c:v>
                </c:pt>
                <c:pt idx="2">
                  <c:v>7</c:v>
                </c:pt>
                <c:pt idx="3">
                  <c:v>6</c:v>
                </c:pt>
                <c:pt idx="4">
                  <c:v>5</c:v>
                </c:pt>
                <c:pt idx="5">
                  <c:v>4</c:v>
                </c:pt>
                <c:pt idx="6">
                  <c:v>3</c:v>
                </c:pt>
                <c:pt idx="7">
                  <c:v>1</c:v>
                </c:pt>
                <c:pt idx="8">
                  <c:v>0</c:v>
                </c:pt>
                <c:pt idx="9">
                  <c:v>2</c:v>
                </c:pt>
              </c:numCache>
            </c:numRef>
          </c:cat>
          <c:val>
            <c:numRef>
              <c:f>'Chocs non financiers subis'!$B$19:$B$28</c:f>
              <c:numCache>
                <c:formatCode>General</c:formatCode>
                <c:ptCount val="10"/>
                <c:pt idx="0">
                  <c:v>0.67</c:v>
                </c:pt>
                <c:pt idx="1">
                  <c:v>1.67</c:v>
                </c:pt>
                <c:pt idx="2">
                  <c:v>3</c:v>
                </c:pt>
                <c:pt idx="3">
                  <c:v>4</c:v>
                </c:pt>
                <c:pt idx="4">
                  <c:v>6.33</c:v>
                </c:pt>
                <c:pt idx="5">
                  <c:v>12.33</c:v>
                </c:pt>
                <c:pt idx="6">
                  <c:v>14</c:v>
                </c:pt>
                <c:pt idx="7">
                  <c:v>16.329999999999998</c:v>
                </c:pt>
                <c:pt idx="8">
                  <c:v>19.329999999999998</c:v>
                </c:pt>
                <c:pt idx="9">
                  <c:v>22.33</c:v>
                </c:pt>
              </c:numCache>
            </c:numRef>
          </c:val>
          <c:extLst xmlns:c16r2="http://schemas.microsoft.com/office/drawing/2015/06/chart">
            <c:ext xmlns:c16="http://schemas.microsoft.com/office/drawing/2014/chart" uri="{C3380CC4-5D6E-409C-BE32-E72D297353CC}">
              <c16:uniqueId val="{00000000-4583-4457-93A0-B48FF0E4EC92}"/>
            </c:ext>
          </c:extLst>
        </c:ser>
        <c:dLbls>
          <c:dLblPos val="outEnd"/>
          <c:showLegendKey val="0"/>
          <c:showVal val="1"/>
          <c:showCatName val="0"/>
          <c:showSerName val="0"/>
          <c:showPercent val="0"/>
          <c:showBubbleSize val="0"/>
        </c:dLbls>
        <c:gapWidth val="219"/>
        <c:overlap val="-27"/>
        <c:axId val="328872800"/>
        <c:axId val="328873192"/>
      </c:barChart>
      <c:catAx>
        <c:axId val="32887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8873192"/>
        <c:crosses val="autoZero"/>
        <c:auto val="1"/>
        <c:lblAlgn val="ctr"/>
        <c:lblOffset val="100"/>
        <c:noMultiLvlLbl val="0"/>
      </c:catAx>
      <c:valAx>
        <c:axId val="328873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88728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Stratégies</a:t>
            </a:r>
            <a:r>
              <a:rPr lang="fr-FR" baseline="0"/>
              <a:t> d'adaptation aux chocs </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'stratégies adaptation'!$B$1</c:f>
              <c:strCache>
                <c:ptCount val="1"/>
                <c:pt idx="0">
                  <c:v>Oui</c:v>
                </c:pt>
              </c:strCache>
            </c:strRef>
          </c:tx>
          <c:spPr>
            <a:solidFill>
              <a:schemeClr val="accent1"/>
            </a:solidFill>
            <a:ln>
              <a:noFill/>
            </a:ln>
            <a:effectLst/>
          </c:spPr>
          <c:invertIfNegative val="0"/>
          <c:cat>
            <c:strRef>
              <c:f>'stratégies adaptation'!$A$2:$A$16</c:f>
              <c:strCache>
                <c:ptCount val="15"/>
                <c:pt idx="0">
                  <c:v>Demander le support de son association d'éleveurs</c:v>
                </c:pt>
                <c:pt idx="1">
                  <c:v>Utiliser les indemnisations d'assurance</c:v>
                </c:pt>
                <c:pt idx="2">
                  <c:v>Réduire les autres dépenses de consommation</c:v>
                </c:pt>
                <c:pt idx="3">
                  <c:v>Autres</c:v>
                </c:pt>
                <c:pt idx="4">
                  <c:v>Vendre des actifs </c:v>
                </c:pt>
                <c:pt idx="5">
                  <c:v>Réduire les dépenses de consommation alimentaire</c:v>
                </c:pt>
                <c:pt idx="6">
                  <c:v>Demander de l'aide auprès des connaissances</c:v>
                </c:pt>
                <c:pt idx="7">
                  <c:v>Epargner</c:v>
                </c:pt>
                <c:pt idx="8">
                  <c:v>Participer à des tontines</c:v>
                </c:pt>
                <c:pt idx="9">
                  <c:v>Migrer </c:v>
                </c:pt>
                <c:pt idx="10">
                  <c:v>Transhumer saisonnièrement</c:v>
                </c:pt>
                <c:pt idx="11">
                  <c:v>Ne rien faire</c:v>
                </c:pt>
                <c:pt idx="12">
                  <c:v>Pratiquer d'autres activités</c:v>
                </c:pt>
                <c:pt idx="13">
                  <c:v>S'endetter</c:v>
                </c:pt>
                <c:pt idx="14">
                  <c:v>Vendre plus d'animaux que d'habitudes</c:v>
                </c:pt>
              </c:strCache>
            </c:strRef>
          </c:cat>
          <c:val>
            <c:numRef>
              <c:f>'stratégies adaptation'!$B$2:$B$16</c:f>
              <c:numCache>
                <c:formatCode>General</c:formatCode>
                <c:ptCount val="15"/>
                <c:pt idx="0">
                  <c:v>0</c:v>
                </c:pt>
                <c:pt idx="1">
                  <c:v>0</c:v>
                </c:pt>
                <c:pt idx="2">
                  <c:v>2</c:v>
                </c:pt>
                <c:pt idx="3">
                  <c:v>2</c:v>
                </c:pt>
                <c:pt idx="4">
                  <c:v>5</c:v>
                </c:pt>
                <c:pt idx="5">
                  <c:v>9</c:v>
                </c:pt>
                <c:pt idx="6">
                  <c:v>12</c:v>
                </c:pt>
                <c:pt idx="7">
                  <c:v>12</c:v>
                </c:pt>
                <c:pt idx="8">
                  <c:v>13</c:v>
                </c:pt>
                <c:pt idx="9">
                  <c:v>17</c:v>
                </c:pt>
                <c:pt idx="10">
                  <c:v>17</c:v>
                </c:pt>
                <c:pt idx="11">
                  <c:v>59</c:v>
                </c:pt>
                <c:pt idx="12">
                  <c:v>75</c:v>
                </c:pt>
                <c:pt idx="13">
                  <c:v>87</c:v>
                </c:pt>
                <c:pt idx="14">
                  <c:v>150</c:v>
                </c:pt>
              </c:numCache>
            </c:numRef>
          </c:val>
          <c:extLst xmlns:c16r2="http://schemas.microsoft.com/office/drawing/2015/06/chart">
            <c:ext xmlns:c16="http://schemas.microsoft.com/office/drawing/2014/chart" uri="{C3380CC4-5D6E-409C-BE32-E72D297353CC}">
              <c16:uniqueId val="{00000000-5536-4E0F-A448-544A4858A2BE}"/>
            </c:ext>
          </c:extLst>
        </c:ser>
        <c:ser>
          <c:idx val="1"/>
          <c:order val="1"/>
          <c:tx>
            <c:strRef>
              <c:f>'stratégies adaptation'!$C$1</c:f>
              <c:strCache>
                <c:ptCount val="1"/>
                <c:pt idx="0">
                  <c:v>Non</c:v>
                </c:pt>
              </c:strCache>
            </c:strRef>
          </c:tx>
          <c:spPr>
            <a:solidFill>
              <a:schemeClr val="accent2"/>
            </a:solidFill>
            <a:ln>
              <a:noFill/>
            </a:ln>
            <a:effectLst/>
          </c:spPr>
          <c:invertIfNegative val="0"/>
          <c:cat>
            <c:strRef>
              <c:f>'stratégies adaptation'!$A$2:$A$16</c:f>
              <c:strCache>
                <c:ptCount val="15"/>
                <c:pt idx="0">
                  <c:v>Demander le support de son association d'éleveurs</c:v>
                </c:pt>
                <c:pt idx="1">
                  <c:v>Utiliser les indemnisations d'assurance</c:v>
                </c:pt>
                <c:pt idx="2">
                  <c:v>Réduire les autres dépenses de consommation</c:v>
                </c:pt>
                <c:pt idx="3">
                  <c:v>Autres</c:v>
                </c:pt>
                <c:pt idx="4">
                  <c:v>Vendre des actifs </c:v>
                </c:pt>
                <c:pt idx="5">
                  <c:v>Réduire les dépenses de consommation alimentaire</c:v>
                </c:pt>
                <c:pt idx="6">
                  <c:v>Demander de l'aide auprès des connaissances</c:v>
                </c:pt>
                <c:pt idx="7">
                  <c:v>Epargner</c:v>
                </c:pt>
                <c:pt idx="8">
                  <c:v>Participer à des tontines</c:v>
                </c:pt>
                <c:pt idx="9">
                  <c:v>Migrer </c:v>
                </c:pt>
                <c:pt idx="10">
                  <c:v>Transhumer saisonnièrement</c:v>
                </c:pt>
                <c:pt idx="11">
                  <c:v>Ne rien faire</c:v>
                </c:pt>
                <c:pt idx="12">
                  <c:v>Pratiquer d'autres activités</c:v>
                </c:pt>
                <c:pt idx="13">
                  <c:v>S'endetter</c:v>
                </c:pt>
                <c:pt idx="14">
                  <c:v>Vendre plus d'animaux que d'habitudes</c:v>
                </c:pt>
              </c:strCache>
            </c:strRef>
          </c:cat>
          <c:val>
            <c:numRef>
              <c:f>'stratégies adaptation'!$C$2:$C$16</c:f>
              <c:numCache>
                <c:formatCode>General</c:formatCode>
                <c:ptCount val="15"/>
                <c:pt idx="0">
                  <c:v>300</c:v>
                </c:pt>
                <c:pt idx="1">
                  <c:v>300</c:v>
                </c:pt>
                <c:pt idx="2">
                  <c:v>298</c:v>
                </c:pt>
                <c:pt idx="3">
                  <c:v>298</c:v>
                </c:pt>
                <c:pt idx="4">
                  <c:v>295</c:v>
                </c:pt>
                <c:pt idx="5">
                  <c:v>291</c:v>
                </c:pt>
                <c:pt idx="6">
                  <c:v>288</c:v>
                </c:pt>
                <c:pt idx="7">
                  <c:v>288</c:v>
                </c:pt>
                <c:pt idx="8">
                  <c:v>287</c:v>
                </c:pt>
                <c:pt idx="9">
                  <c:v>283</c:v>
                </c:pt>
                <c:pt idx="10">
                  <c:v>283</c:v>
                </c:pt>
                <c:pt idx="11">
                  <c:v>241</c:v>
                </c:pt>
                <c:pt idx="12">
                  <c:v>225</c:v>
                </c:pt>
                <c:pt idx="13">
                  <c:v>213</c:v>
                </c:pt>
                <c:pt idx="14">
                  <c:v>150</c:v>
                </c:pt>
              </c:numCache>
            </c:numRef>
          </c:val>
          <c:extLst xmlns:c16r2="http://schemas.microsoft.com/office/drawing/2015/06/chart">
            <c:ext xmlns:c16="http://schemas.microsoft.com/office/drawing/2014/chart" uri="{C3380CC4-5D6E-409C-BE32-E72D297353CC}">
              <c16:uniqueId val="{00000001-5536-4E0F-A448-544A4858A2BE}"/>
            </c:ext>
          </c:extLst>
        </c:ser>
        <c:dLbls>
          <c:showLegendKey val="0"/>
          <c:showVal val="0"/>
          <c:showCatName val="0"/>
          <c:showSerName val="0"/>
          <c:showPercent val="0"/>
          <c:showBubbleSize val="0"/>
        </c:dLbls>
        <c:gapWidth val="219"/>
        <c:overlap val="-27"/>
        <c:axId val="328873976"/>
        <c:axId val="328874368"/>
      </c:barChart>
      <c:catAx>
        <c:axId val="328873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8874368"/>
        <c:crosses val="autoZero"/>
        <c:auto val="1"/>
        <c:lblAlgn val="ctr"/>
        <c:lblOffset val="100"/>
        <c:noMultiLvlLbl val="0"/>
      </c:catAx>
      <c:valAx>
        <c:axId val="328874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8873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Nombre de stratégies d'adaptations (% d'éleveurs)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'stratégies adaptation'!$B$19</c:f>
              <c:strCache>
                <c:ptCount val="1"/>
                <c:pt idx="0">
                  <c:v>Nombre de stratégies d'adaptations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'stratégies adaptation'!$A$20:$A$26</c:f>
              <c:numCache>
                <c:formatCode>General</c:formatCode>
                <c:ptCount val="7"/>
                <c:pt idx="0">
                  <c:v>7</c:v>
                </c:pt>
                <c:pt idx="1">
                  <c:v>5</c:v>
                </c:pt>
                <c:pt idx="2">
                  <c:v>4</c:v>
                </c:pt>
                <c:pt idx="3">
                  <c:v>3</c:v>
                </c:pt>
                <c:pt idx="4">
                  <c:v>0</c:v>
                </c:pt>
                <c:pt idx="5">
                  <c:v>2</c:v>
                </c:pt>
                <c:pt idx="6">
                  <c:v>1</c:v>
                </c:pt>
              </c:numCache>
            </c:numRef>
          </c:cat>
          <c:val>
            <c:numRef>
              <c:f>'stratégies adaptation'!$B$20:$B$26</c:f>
              <c:numCache>
                <c:formatCode>General</c:formatCode>
                <c:ptCount val="7"/>
                <c:pt idx="0">
                  <c:v>0.33</c:v>
                </c:pt>
                <c:pt idx="1">
                  <c:v>0.67</c:v>
                </c:pt>
                <c:pt idx="2">
                  <c:v>2.67</c:v>
                </c:pt>
                <c:pt idx="3">
                  <c:v>10.33</c:v>
                </c:pt>
                <c:pt idx="4">
                  <c:v>25.33</c:v>
                </c:pt>
                <c:pt idx="5">
                  <c:v>25.67</c:v>
                </c:pt>
                <c:pt idx="6">
                  <c:v>35</c:v>
                </c:pt>
              </c:numCache>
            </c:numRef>
          </c:val>
          <c:extLst xmlns:c16r2="http://schemas.microsoft.com/office/drawing/2015/06/chart">
            <c:ext xmlns:c16="http://schemas.microsoft.com/office/drawing/2014/chart" uri="{C3380CC4-5D6E-409C-BE32-E72D297353CC}">
              <c16:uniqueId val="{00000000-0EF8-4FA9-B26A-B80D7C87DC37}"/>
            </c:ext>
          </c:extLst>
        </c:ser>
        <c:dLbls>
          <c:dLblPos val="outEnd"/>
          <c:showLegendKey val="0"/>
          <c:showVal val="1"/>
          <c:showCatName val="0"/>
          <c:showSerName val="0"/>
          <c:showPercent val="0"/>
          <c:showBubbleSize val="0"/>
        </c:dLbls>
        <c:gapWidth val="219"/>
        <c:overlap val="-27"/>
        <c:axId val="320446432"/>
        <c:axId val="325618744"/>
      </c:barChart>
      <c:catAx>
        <c:axId val="320446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5618744"/>
        <c:crosses val="autoZero"/>
        <c:auto val="1"/>
        <c:lblAlgn val="ctr"/>
        <c:lblOffset val="100"/>
        <c:noMultiLvlLbl val="0"/>
      </c:catAx>
      <c:valAx>
        <c:axId val="325618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0446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Bovins par % d'éleveurs enquêtés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bar"/>
        <c:grouping val="clustered"/>
        <c:varyColors val="0"/>
        <c:ser>
          <c:idx val="0"/>
          <c:order val="0"/>
          <c:tx>
            <c:strRef>
              <c:f>'Nbre de bovins, ovins et caprin'!$B$1</c:f>
              <c:strCache>
                <c:ptCount val="1"/>
                <c:pt idx="0">
                  <c:v>Vache</c:v>
                </c:pt>
              </c:strCache>
            </c:strRef>
          </c:tx>
          <c:spPr>
            <a:solidFill>
              <a:schemeClr val="accent1"/>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'Nbre de bovins, ovins et caprin'!$A$2:$A$6</c:f>
              <c:strCache>
                <c:ptCount val="5"/>
                <c:pt idx="0">
                  <c:v>entre 0 et 3</c:v>
                </c:pt>
                <c:pt idx="1">
                  <c:v>entre 3 et 10</c:v>
                </c:pt>
                <c:pt idx="2">
                  <c:v>entre 10 et 30</c:v>
                </c:pt>
                <c:pt idx="3">
                  <c:v>entre 30 et 100</c:v>
                </c:pt>
                <c:pt idx="4">
                  <c:v>supérieur à 100</c:v>
                </c:pt>
              </c:strCache>
            </c:strRef>
          </c:cat>
          <c:val>
            <c:numRef>
              <c:f>'Nbre de bovins, ovins et caprin'!$B$2:$B$6</c:f>
              <c:numCache>
                <c:formatCode>General</c:formatCode>
                <c:ptCount val="5"/>
                <c:pt idx="0">
                  <c:v>53.51</c:v>
                </c:pt>
                <c:pt idx="1">
                  <c:v>21.4</c:v>
                </c:pt>
                <c:pt idx="2">
                  <c:v>17.39</c:v>
                </c:pt>
                <c:pt idx="3">
                  <c:v>7.36</c:v>
                </c:pt>
                <c:pt idx="4">
                  <c:v>0.33</c:v>
                </c:pt>
              </c:numCache>
            </c:numRef>
          </c:val>
          <c:extLst xmlns:c16r2="http://schemas.microsoft.com/office/drawing/2015/06/chart">
            <c:ext xmlns:c16="http://schemas.microsoft.com/office/drawing/2014/chart" uri="{C3380CC4-5D6E-409C-BE32-E72D297353CC}">
              <c16:uniqueId val="{00000000-BEEE-4960-8EF6-8D71B32E158A}"/>
            </c:ext>
          </c:extLst>
        </c:ser>
        <c:dLbls>
          <c:showLegendKey val="0"/>
          <c:showVal val="0"/>
          <c:showCatName val="0"/>
          <c:showSerName val="0"/>
          <c:showPercent val="0"/>
          <c:showBubbleSize val="0"/>
        </c:dLbls>
        <c:gapWidth val="150"/>
        <c:axId val="325619528"/>
        <c:axId val="325619920"/>
      </c:barChart>
      <c:catAx>
        <c:axId val="325619528"/>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5619920"/>
        <c:crosses val="autoZero"/>
        <c:auto val="1"/>
        <c:lblAlgn val="ctr"/>
        <c:lblOffset val="100"/>
        <c:noMultiLvlLbl val="0"/>
      </c:catAx>
      <c:valAx>
        <c:axId val="3256199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5619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a:t>Ovins </a:t>
            </a:r>
            <a:r>
              <a:rPr lang="en-US" sz="1400" b="0" i="0" baseline="0">
                <a:effectLst/>
              </a:rPr>
              <a:t>par % d'éleveurs enquêtés</a:t>
            </a:r>
            <a:endParaRPr lang="fr-FR" sz="14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fr-FR"/>
        </a:p>
      </c:txPr>
    </c:title>
    <c:autoTitleDeleted val="0"/>
    <c:plotArea>
      <c:layout/>
      <c:barChart>
        <c:barDir val="bar"/>
        <c:grouping val="clustered"/>
        <c:varyColors val="0"/>
        <c:ser>
          <c:idx val="0"/>
          <c:order val="0"/>
          <c:tx>
            <c:strRef>
              <c:f>'Nbre de bovins, ovins et caprin'!$B$9</c:f>
              <c:strCache>
                <c:ptCount val="1"/>
                <c:pt idx="0">
                  <c:v>Ovins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'Nbre de bovins, ovins et caprin'!$A$10:$A$14</c:f>
              <c:strCache>
                <c:ptCount val="5"/>
                <c:pt idx="0">
                  <c:v>entre 0 et 10</c:v>
                </c:pt>
                <c:pt idx="1">
                  <c:v>entre 10 et 50</c:v>
                </c:pt>
                <c:pt idx="2">
                  <c:v>entre 50 et 100</c:v>
                </c:pt>
                <c:pt idx="3">
                  <c:v>entre 100 et 200</c:v>
                </c:pt>
                <c:pt idx="4">
                  <c:v>supérieur à 200</c:v>
                </c:pt>
              </c:strCache>
            </c:strRef>
          </c:cat>
          <c:val>
            <c:numRef>
              <c:f>'Nbre de bovins, ovins et caprin'!$B$10:$B$14</c:f>
              <c:numCache>
                <c:formatCode>General</c:formatCode>
                <c:ptCount val="5"/>
                <c:pt idx="0">
                  <c:v>51.68</c:v>
                </c:pt>
                <c:pt idx="1">
                  <c:v>34.9</c:v>
                </c:pt>
                <c:pt idx="2">
                  <c:v>10.07</c:v>
                </c:pt>
                <c:pt idx="3">
                  <c:v>3.02</c:v>
                </c:pt>
                <c:pt idx="4">
                  <c:v>0.34</c:v>
                </c:pt>
              </c:numCache>
            </c:numRef>
          </c:val>
          <c:extLst xmlns:c16r2="http://schemas.microsoft.com/office/drawing/2015/06/chart">
            <c:ext xmlns:c16="http://schemas.microsoft.com/office/drawing/2014/chart" uri="{C3380CC4-5D6E-409C-BE32-E72D297353CC}">
              <c16:uniqueId val="{00000000-63DE-473F-9C21-C64E6975C0AA}"/>
            </c:ext>
          </c:extLst>
        </c:ser>
        <c:dLbls>
          <c:dLblPos val="outEnd"/>
          <c:showLegendKey val="0"/>
          <c:showVal val="1"/>
          <c:showCatName val="0"/>
          <c:showSerName val="0"/>
          <c:showPercent val="0"/>
          <c:showBubbleSize val="0"/>
        </c:dLbls>
        <c:gapWidth val="219"/>
        <c:axId val="329080744"/>
        <c:axId val="329081136"/>
      </c:barChart>
      <c:catAx>
        <c:axId val="3290807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081136"/>
        <c:crosses val="autoZero"/>
        <c:auto val="1"/>
        <c:lblAlgn val="ctr"/>
        <c:lblOffset val="100"/>
        <c:noMultiLvlLbl val="0"/>
      </c:catAx>
      <c:valAx>
        <c:axId val="3290811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0807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a:t>Caprins </a:t>
            </a:r>
            <a:r>
              <a:rPr lang="en-US" sz="1400" b="0" i="0" baseline="0">
                <a:effectLst/>
              </a:rPr>
              <a:t>par % d'éleveurs enquêtés</a:t>
            </a:r>
            <a:endParaRPr lang="fr-FR"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fr-FR"/>
        </a:p>
      </c:txPr>
    </c:title>
    <c:autoTitleDeleted val="0"/>
    <c:plotArea>
      <c:layout/>
      <c:barChart>
        <c:barDir val="bar"/>
        <c:grouping val="clustered"/>
        <c:varyColors val="0"/>
        <c:ser>
          <c:idx val="0"/>
          <c:order val="0"/>
          <c:tx>
            <c:strRef>
              <c:f>'Nbre de bovins, ovins et caprin'!$B$18</c:f>
              <c:strCache>
                <c:ptCount val="1"/>
                <c:pt idx="0">
                  <c:v>Caprins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'Nbre de bovins, ovins et caprin'!$A$19:$A$22</c:f>
              <c:strCache>
                <c:ptCount val="4"/>
                <c:pt idx="0">
                  <c:v>entre 0 et 10</c:v>
                </c:pt>
                <c:pt idx="1">
                  <c:v>entre 10 et 50</c:v>
                </c:pt>
                <c:pt idx="2">
                  <c:v>entre 50 et 100</c:v>
                </c:pt>
                <c:pt idx="3">
                  <c:v>entre 100 et 200</c:v>
                </c:pt>
              </c:strCache>
            </c:strRef>
          </c:cat>
          <c:val>
            <c:numRef>
              <c:f>'Nbre de bovins, ovins et caprin'!$B$19:$B$22</c:f>
              <c:numCache>
                <c:formatCode>General</c:formatCode>
                <c:ptCount val="4"/>
                <c:pt idx="0">
                  <c:v>58.92</c:v>
                </c:pt>
                <c:pt idx="1">
                  <c:v>35.020000000000003</c:v>
                </c:pt>
                <c:pt idx="2">
                  <c:v>5.72</c:v>
                </c:pt>
                <c:pt idx="3">
                  <c:v>0.34</c:v>
                </c:pt>
              </c:numCache>
            </c:numRef>
          </c:val>
          <c:extLst xmlns:c16r2="http://schemas.microsoft.com/office/drawing/2015/06/chart">
            <c:ext xmlns:c16="http://schemas.microsoft.com/office/drawing/2014/chart" uri="{C3380CC4-5D6E-409C-BE32-E72D297353CC}">
              <c16:uniqueId val="{00000000-903C-4A6A-B3C9-B78E600AC2F4}"/>
            </c:ext>
          </c:extLst>
        </c:ser>
        <c:dLbls>
          <c:dLblPos val="outEnd"/>
          <c:showLegendKey val="0"/>
          <c:showVal val="1"/>
          <c:showCatName val="0"/>
          <c:showSerName val="0"/>
          <c:showPercent val="0"/>
          <c:showBubbleSize val="0"/>
        </c:dLbls>
        <c:gapWidth val="219"/>
        <c:axId val="329081920"/>
        <c:axId val="329082312"/>
      </c:barChart>
      <c:catAx>
        <c:axId val="3290819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082312"/>
        <c:crosses val="autoZero"/>
        <c:auto val="1"/>
        <c:lblAlgn val="ctr"/>
        <c:lblOffset val="100"/>
        <c:noMultiLvlLbl val="0"/>
      </c:catAx>
      <c:valAx>
        <c:axId val="3290823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081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Investissement</a:t>
            </a:r>
            <a:r>
              <a:rPr lang="fr-FR" baseline="0"/>
              <a:t> effectués durant les 12 dernières mois dans le troupeau?</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'invest&amp;revenu'!$A$3</c:f>
              <c:strCache>
                <c:ptCount val="1"/>
                <c:pt idx="0">
                  <c:v>Transport</c:v>
                </c:pt>
              </c:strCache>
            </c:strRef>
          </c:tx>
          <c:spPr>
            <a:solidFill>
              <a:schemeClr val="accent1"/>
            </a:solidFill>
            <a:ln>
              <a:noFill/>
            </a:ln>
            <a:effectLst/>
          </c:spPr>
          <c:invertIfNegative val="0"/>
          <c:cat>
            <c:strRef>
              <c:f>'invest&amp;revenu'!$B$2:$D$2</c:f>
              <c:strCache>
                <c:ptCount val="3"/>
                <c:pt idx="0">
                  <c:v>Bovins</c:v>
                </c:pt>
                <c:pt idx="1">
                  <c:v>Ovins</c:v>
                </c:pt>
                <c:pt idx="2">
                  <c:v>Caprins</c:v>
                </c:pt>
              </c:strCache>
            </c:strRef>
          </c:cat>
          <c:val>
            <c:numRef>
              <c:f>'invest&amp;revenu'!$B$3:$D$3</c:f>
              <c:numCache>
                <c:formatCode>General</c:formatCode>
                <c:ptCount val="3"/>
                <c:pt idx="0">
                  <c:v>525</c:v>
                </c:pt>
                <c:pt idx="1">
                  <c:v>2161</c:v>
                </c:pt>
                <c:pt idx="2">
                  <c:v>1693</c:v>
                </c:pt>
              </c:numCache>
            </c:numRef>
          </c:val>
          <c:extLst xmlns:c16r2="http://schemas.microsoft.com/office/drawing/2015/06/chart">
            <c:ext xmlns:c16="http://schemas.microsoft.com/office/drawing/2014/chart" uri="{C3380CC4-5D6E-409C-BE32-E72D297353CC}">
              <c16:uniqueId val="{00000000-2F47-4DD5-89B7-9BBEDC27AD65}"/>
            </c:ext>
          </c:extLst>
        </c:ser>
        <c:ser>
          <c:idx val="1"/>
          <c:order val="1"/>
          <c:tx>
            <c:strRef>
              <c:f>'invest&amp;revenu'!$A$4</c:f>
              <c:strCache>
                <c:ptCount val="1"/>
                <c:pt idx="0">
                  <c:v>Autres dépenses</c:v>
                </c:pt>
              </c:strCache>
            </c:strRef>
          </c:tx>
          <c:spPr>
            <a:solidFill>
              <a:schemeClr val="accent2"/>
            </a:solidFill>
            <a:ln>
              <a:noFill/>
            </a:ln>
            <a:effectLst/>
          </c:spPr>
          <c:invertIfNegative val="0"/>
          <c:cat>
            <c:strRef>
              <c:f>'invest&amp;revenu'!$B$2:$D$2</c:f>
              <c:strCache>
                <c:ptCount val="3"/>
                <c:pt idx="0">
                  <c:v>Bovins</c:v>
                </c:pt>
                <c:pt idx="1">
                  <c:v>Ovins</c:v>
                </c:pt>
                <c:pt idx="2">
                  <c:v>Caprins</c:v>
                </c:pt>
              </c:strCache>
            </c:strRef>
          </c:cat>
          <c:val>
            <c:numRef>
              <c:f>'invest&amp;revenu'!$B$4:$D$4</c:f>
              <c:numCache>
                <c:formatCode>General</c:formatCode>
                <c:ptCount val="3"/>
                <c:pt idx="0">
                  <c:v>4972</c:v>
                </c:pt>
                <c:pt idx="1">
                  <c:v>0</c:v>
                </c:pt>
                <c:pt idx="2">
                  <c:v>1693</c:v>
                </c:pt>
              </c:numCache>
            </c:numRef>
          </c:val>
          <c:extLst xmlns:c16r2="http://schemas.microsoft.com/office/drawing/2015/06/chart">
            <c:ext xmlns:c16="http://schemas.microsoft.com/office/drawing/2014/chart" uri="{C3380CC4-5D6E-409C-BE32-E72D297353CC}">
              <c16:uniqueId val="{00000001-2F47-4DD5-89B7-9BBEDC27AD65}"/>
            </c:ext>
          </c:extLst>
        </c:ser>
        <c:ser>
          <c:idx val="2"/>
          <c:order val="2"/>
          <c:tx>
            <c:strRef>
              <c:f>'invest&amp;revenu'!$A$5</c:f>
              <c:strCache>
                <c:ptCount val="1"/>
                <c:pt idx="0">
                  <c:v>Achats de nouvelles bêtes</c:v>
                </c:pt>
              </c:strCache>
            </c:strRef>
          </c:tx>
          <c:spPr>
            <a:solidFill>
              <a:schemeClr val="accent3"/>
            </a:solidFill>
            <a:ln>
              <a:noFill/>
            </a:ln>
            <a:effectLst/>
          </c:spPr>
          <c:invertIfNegative val="0"/>
          <c:cat>
            <c:strRef>
              <c:f>'invest&amp;revenu'!$B$2:$D$2</c:f>
              <c:strCache>
                <c:ptCount val="3"/>
                <c:pt idx="0">
                  <c:v>Bovins</c:v>
                </c:pt>
                <c:pt idx="1">
                  <c:v>Ovins</c:v>
                </c:pt>
                <c:pt idx="2">
                  <c:v>Caprins</c:v>
                </c:pt>
              </c:strCache>
            </c:strRef>
          </c:cat>
          <c:val>
            <c:numRef>
              <c:f>'invest&amp;revenu'!$B$5:$D$5</c:f>
              <c:numCache>
                <c:formatCode>General</c:formatCode>
                <c:ptCount val="3"/>
                <c:pt idx="0">
                  <c:v>9328</c:v>
                </c:pt>
                <c:pt idx="1">
                  <c:v>24427</c:v>
                </c:pt>
                <c:pt idx="2">
                  <c:v>3997</c:v>
                </c:pt>
              </c:numCache>
            </c:numRef>
          </c:val>
          <c:extLst xmlns:c16r2="http://schemas.microsoft.com/office/drawing/2015/06/chart">
            <c:ext xmlns:c16="http://schemas.microsoft.com/office/drawing/2014/chart" uri="{C3380CC4-5D6E-409C-BE32-E72D297353CC}">
              <c16:uniqueId val="{00000002-2F47-4DD5-89B7-9BBEDC27AD65}"/>
            </c:ext>
          </c:extLst>
        </c:ser>
        <c:ser>
          <c:idx val="3"/>
          <c:order val="3"/>
          <c:tx>
            <c:strRef>
              <c:f>'invest&amp;revenu'!$A$6</c:f>
              <c:strCache>
                <c:ptCount val="1"/>
                <c:pt idx="0">
                  <c:v>Santé animale</c:v>
                </c:pt>
              </c:strCache>
            </c:strRef>
          </c:tx>
          <c:spPr>
            <a:solidFill>
              <a:schemeClr val="accent4"/>
            </a:solidFill>
            <a:ln>
              <a:noFill/>
            </a:ln>
            <a:effectLst/>
          </c:spPr>
          <c:invertIfNegative val="0"/>
          <c:cat>
            <c:strRef>
              <c:f>'invest&amp;revenu'!$B$2:$D$2</c:f>
              <c:strCache>
                <c:ptCount val="3"/>
                <c:pt idx="0">
                  <c:v>Bovins</c:v>
                </c:pt>
                <c:pt idx="1">
                  <c:v>Ovins</c:v>
                </c:pt>
                <c:pt idx="2">
                  <c:v>Caprins</c:v>
                </c:pt>
              </c:strCache>
            </c:strRef>
          </c:cat>
          <c:val>
            <c:numRef>
              <c:f>'invest&amp;revenu'!$B$6:$D$6</c:f>
              <c:numCache>
                <c:formatCode>General</c:formatCode>
                <c:ptCount val="3"/>
                <c:pt idx="0">
                  <c:v>15846</c:v>
                </c:pt>
                <c:pt idx="1">
                  <c:v>12702</c:v>
                </c:pt>
                <c:pt idx="2">
                  <c:v>3081</c:v>
                </c:pt>
              </c:numCache>
            </c:numRef>
          </c:val>
          <c:extLst xmlns:c16r2="http://schemas.microsoft.com/office/drawing/2015/06/chart">
            <c:ext xmlns:c16="http://schemas.microsoft.com/office/drawing/2014/chart" uri="{C3380CC4-5D6E-409C-BE32-E72D297353CC}">
              <c16:uniqueId val="{0000000B-2F47-4DD5-89B7-9BBEDC27AD65}"/>
            </c:ext>
          </c:extLst>
        </c:ser>
        <c:ser>
          <c:idx val="4"/>
          <c:order val="4"/>
          <c:tx>
            <c:strRef>
              <c:f>'invest&amp;revenu'!$A$7</c:f>
              <c:strCache>
                <c:ptCount val="1"/>
                <c:pt idx="0">
                  <c:v>Main d'œuvre</c:v>
                </c:pt>
              </c:strCache>
            </c:strRef>
          </c:tx>
          <c:spPr>
            <a:solidFill>
              <a:schemeClr val="accent5"/>
            </a:solidFill>
            <a:ln>
              <a:noFill/>
            </a:ln>
            <a:effectLst/>
          </c:spPr>
          <c:invertIfNegative val="0"/>
          <c:cat>
            <c:strRef>
              <c:f>'invest&amp;revenu'!$B$2:$D$2</c:f>
              <c:strCache>
                <c:ptCount val="3"/>
                <c:pt idx="0">
                  <c:v>Bovins</c:v>
                </c:pt>
                <c:pt idx="1">
                  <c:v>Ovins</c:v>
                </c:pt>
                <c:pt idx="2">
                  <c:v>Caprins</c:v>
                </c:pt>
              </c:strCache>
            </c:strRef>
          </c:cat>
          <c:val>
            <c:numRef>
              <c:f>'invest&amp;revenu'!$B$7:$D$7</c:f>
              <c:numCache>
                <c:formatCode>General</c:formatCode>
                <c:ptCount val="3"/>
                <c:pt idx="0">
                  <c:v>20296</c:v>
                </c:pt>
                <c:pt idx="1">
                  <c:v>21131</c:v>
                </c:pt>
                <c:pt idx="2">
                  <c:v>4923</c:v>
                </c:pt>
              </c:numCache>
            </c:numRef>
          </c:val>
          <c:extLst xmlns:c16r2="http://schemas.microsoft.com/office/drawing/2015/06/chart">
            <c:ext xmlns:c16="http://schemas.microsoft.com/office/drawing/2014/chart" uri="{C3380CC4-5D6E-409C-BE32-E72D297353CC}">
              <c16:uniqueId val="{0000000C-2F47-4DD5-89B7-9BBEDC27AD65}"/>
            </c:ext>
          </c:extLst>
        </c:ser>
        <c:ser>
          <c:idx val="5"/>
          <c:order val="5"/>
          <c:tx>
            <c:strRef>
              <c:f>'invest&amp;revenu'!$A$8</c:f>
              <c:strCache>
                <c:ptCount val="1"/>
                <c:pt idx="0">
                  <c:v>moyenne totale</c:v>
                </c:pt>
              </c:strCache>
            </c:strRef>
          </c:tx>
          <c:spPr>
            <a:solidFill>
              <a:schemeClr val="accent6"/>
            </a:solidFill>
            <a:ln>
              <a:noFill/>
            </a:ln>
            <a:effectLst/>
          </c:spPr>
          <c:invertIfNegative val="0"/>
          <c:cat>
            <c:strRef>
              <c:f>'invest&amp;revenu'!$B$2:$D$2</c:f>
              <c:strCache>
                <c:ptCount val="3"/>
                <c:pt idx="0">
                  <c:v>Bovins</c:v>
                </c:pt>
                <c:pt idx="1">
                  <c:v>Ovins</c:v>
                </c:pt>
                <c:pt idx="2">
                  <c:v>Caprins</c:v>
                </c:pt>
              </c:strCache>
            </c:strRef>
          </c:cat>
          <c:val>
            <c:numRef>
              <c:f>'invest&amp;revenu'!$B$8:$D$8</c:f>
              <c:numCache>
                <c:formatCode>General</c:formatCode>
                <c:ptCount val="3"/>
                <c:pt idx="0">
                  <c:v>150278</c:v>
                </c:pt>
                <c:pt idx="1">
                  <c:v>177692</c:v>
                </c:pt>
                <c:pt idx="2">
                  <c:v>31521</c:v>
                </c:pt>
              </c:numCache>
            </c:numRef>
          </c:val>
          <c:extLst xmlns:c16r2="http://schemas.microsoft.com/office/drawing/2015/06/chart">
            <c:ext xmlns:c16="http://schemas.microsoft.com/office/drawing/2014/chart" uri="{C3380CC4-5D6E-409C-BE32-E72D297353CC}">
              <c16:uniqueId val="{0000000D-2F47-4DD5-89B7-9BBEDC27AD65}"/>
            </c:ext>
          </c:extLst>
        </c:ser>
        <c:ser>
          <c:idx val="6"/>
          <c:order val="6"/>
          <c:tx>
            <c:strRef>
              <c:f>'invest&amp;revenu'!$A$9</c:f>
              <c:strCache>
                <c:ptCount val="1"/>
                <c:pt idx="0">
                  <c:v>Aliments et abreuvement</c:v>
                </c:pt>
              </c:strCache>
            </c:strRef>
          </c:tx>
          <c:spPr>
            <a:solidFill>
              <a:schemeClr val="accent1">
                <a:lumMod val="60000"/>
              </a:schemeClr>
            </a:solidFill>
            <a:ln>
              <a:noFill/>
            </a:ln>
            <a:effectLst/>
          </c:spPr>
          <c:invertIfNegative val="0"/>
          <c:cat>
            <c:strRef>
              <c:f>'invest&amp;revenu'!$B$2:$D$2</c:f>
              <c:strCache>
                <c:ptCount val="3"/>
                <c:pt idx="0">
                  <c:v>Bovins</c:v>
                </c:pt>
                <c:pt idx="1">
                  <c:v>Ovins</c:v>
                </c:pt>
                <c:pt idx="2">
                  <c:v>Caprins</c:v>
                </c:pt>
              </c:strCache>
            </c:strRef>
          </c:cat>
          <c:val>
            <c:numRef>
              <c:f>'invest&amp;revenu'!$B$9:$D$9</c:f>
              <c:numCache>
                <c:formatCode>General</c:formatCode>
                <c:ptCount val="3"/>
                <c:pt idx="0">
                  <c:v>200893</c:v>
                </c:pt>
                <c:pt idx="1">
                  <c:v>142719</c:v>
                </c:pt>
                <c:pt idx="2">
                  <c:v>23995</c:v>
                </c:pt>
              </c:numCache>
            </c:numRef>
          </c:val>
          <c:extLst xmlns:c16r2="http://schemas.microsoft.com/office/drawing/2015/06/chart">
            <c:ext xmlns:c16="http://schemas.microsoft.com/office/drawing/2014/chart" uri="{C3380CC4-5D6E-409C-BE32-E72D297353CC}">
              <c16:uniqueId val="{0000000E-2F47-4DD5-89B7-9BBEDC27AD65}"/>
            </c:ext>
          </c:extLst>
        </c:ser>
        <c:dLbls>
          <c:showLegendKey val="0"/>
          <c:showVal val="0"/>
          <c:showCatName val="0"/>
          <c:showSerName val="0"/>
          <c:showPercent val="0"/>
          <c:showBubbleSize val="0"/>
        </c:dLbls>
        <c:gapWidth val="219"/>
        <c:overlap val="-27"/>
        <c:axId val="329083096"/>
        <c:axId val="329083488"/>
      </c:barChart>
      <c:catAx>
        <c:axId val="329083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083488"/>
        <c:crosses val="autoZero"/>
        <c:auto val="1"/>
        <c:lblAlgn val="ctr"/>
        <c:lblOffset val="100"/>
        <c:noMultiLvlLbl val="0"/>
      </c:catAx>
      <c:valAx>
        <c:axId val="329083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083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Revenu</a:t>
            </a:r>
            <a:r>
              <a:rPr lang="fr-FR" baseline="0"/>
              <a:t> moyen tiré de l'activité d'élevage</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'invest&amp;revenu'!$A$19</c:f>
              <c:strCache>
                <c:ptCount val="1"/>
                <c:pt idx="0">
                  <c:v>Ventre produit  dérivés</c:v>
                </c:pt>
              </c:strCache>
            </c:strRef>
          </c:tx>
          <c:spPr>
            <a:solidFill>
              <a:schemeClr val="accent1"/>
            </a:solidFill>
            <a:ln>
              <a:noFill/>
            </a:ln>
            <a:effectLst/>
          </c:spPr>
          <c:invertIfNegative val="0"/>
          <c:cat>
            <c:strRef>
              <c:f>'invest&amp;revenu'!$B$18:$D$18</c:f>
              <c:strCache>
                <c:ptCount val="3"/>
                <c:pt idx="0">
                  <c:v>Bovins</c:v>
                </c:pt>
                <c:pt idx="1">
                  <c:v>Ovins</c:v>
                </c:pt>
                <c:pt idx="2">
                  <c:v>Caprins</c:v>
                </c:pt>
              </c:strCache>
            </c:strRef>
          </c:cat>
          <c:val>
            <c:numRef>
              <c:f>'invest&amp;revenu'!$B$19:$D$19</c:f>
              <c:numCache>
                <c:formatCode>General</c:formatCode>
                <c:ptCount val="3"/>
                <c:pt idx="0">
                  <c:v>24235</c:v>
                </c:pt>
                <c:pt idx="1">
                  <c:v>1798</c:v>
                </c:pt>
                <c:pt idx="2">
                  <c:v>1278</c:v>
                </c:pt>
              </c:numCache>
            </c:numRef>
          </c:val>
          <c:extLst xmlns:c16r2="http://schemas.microsoft.com/office/drawing/2015/06/chart">
            <c:ext xmlns:c16="http://schemas.microsoft.com/office/drawing/2014/chart" uri="{C3380CC4-5D6E-409C-BE32-E72D297353CC}">
              <c16:uniqueId val="{00000000-8529-4533-8E82-CB83A4F66DB3}"/>
            </c:ext>
          </c:extLst>
        </c:ser>
        <c:ser>
          <c:idx val="1"/>
          <c:order val="1"/>
          <c:tx>
            <c:strRef>
              <c:f>'invest&amp;revenu'!$A$20</c:f>
              <c:strCache>
                <c:ptCount val="1"/>
                <c:pt idx="0">
                  <c:v>Autres revenus</c:v>
                </c:pt>
              </c:strCache>
            </c:strRef>
          </c:tx>
          <c:spPr>
            <a:solidFill>
              <a:schemeClr val="accent2"/>
            </a:solidFill>
            <a:ln>
              <a:noFill/>
            </a:ln>
            <a:effectLst/>
          </c:spPr>
          <c:invertIfNegative val="0"/>
          <c:cat>
            <c:strRef>
              <c:f>'invest&amp;revenu'!$B$18:$D$18</c:f>
              <c:strCache>
                <c:ptCount val="3"/>
                <c:pt idx="0">
                  <c:v>Bovins</c:v>
                </c:pt>
                <c:pt idx="1">
                  <c:v>Ovins</c:v>
                </c:pt>
                <c:pt idx="2">
                  <c:v>Caprins</c:v>
                </c:pt>
              </c:strCache>
            </c:strRef>
          </c:cat>
          <c:val>
            <c:numRef>
              <c:f>'invest&amp;revenu'!$B$20:$D$20</c:f>
              <c:numCache>
                <c:formatCode>General</c:formatCode>
                <c:ptCount val="3"/>
                <c:pt idx="0">
                  <c:v>1955</c:v>
                </c:pt>
                <c:pt idx="1">
                  <c:v>5095</c:v>
                </c:pt>
                <c:pt idx="2">
                  <c:v>8416</c:v>
                </c:pt>
              </c:numCache>
            </c:numRef>
          </c:val>
          <c:extLst xmlns:c16r2="http://schemas.microsoft.com/office/drawing/2015/06/chart">
            <c:ext xmlns:c16="http://schemas.microsoft.com/office/drawing/2014/chart" uri="{C3380CC4-5D6E-409C-BE32-E72D297353CC}">
              <c16:uniqueId val="{00000001-8529-4533-8E82-CB83A4F66DB3}"/>
            </c:ext>
          </c:extLst>
        </c:ser>
        <c:ser>
          <c:idx val="2"/>
          <c:order val="2"/>
          <c:tx>
            <c:strRef>
              <c:f>'invest&amp;revenu'!$A$21</c:f>
              <c:strCache>
                <c:ptCount val="1"/>
                <c:pt idx="0">
                  <c:v>Commerce de bétail</c:v>
                </c:pt>
              </c:strCache>
            </c:strRef>
          </c:tx>
          <c:spPr>
            <a:solidFill>
              <a:schemeClr val="accent3"/>
            </a:solidFill>
            <a:ln>
              <a:noFill/>
            </a:ln>
            <a:effectLst/>
          </c:spPr>
          <c:invertIfNegative val="0"/>
          <c:cat>
            <c:strRef>
              <c:f>'invest&amp;revenu'!$B$18:$D$18</c:f>
              <c:strCache>
                <c:ptCount val="3"/>
                <c:pt idx="0">
                  <c:v>Bovins</c:v>
                </c:pt>
                <c:pt idx="1">
                  <c:v>Ovins</c:v>
                </c:pt>
                <c:pt idx="2">
                  <c:v>Caprins</c:v>
                </c:pt>
              </c:strCache>
            </c:strRef>
          </c:cat>
          <c:val>
            <c:numRef>
              <c:f>'invest&amp;revenu'!$B$21:$D$21</c:f>
              <c:numCache>
                <c:formatCode>General</c:formatCode>
                <c:ptCount val="3"/>
                <c:pt idx="0">
                  <c:v>12310</c:v>
                </c:pt>
                <c:pt idx="1">
                  <c:v>27399</c:v>
                </c:pt>
                <c:pt idx="2">
                  <c:v>9534</c:v>
                </c:pt>
              </c:numCache>
            </c:numRef>
          </c:val>
          <c:extLst xmlns:c16r2="http://schemas.microsoft.com/office/drawing/2015/06/chart">
            <c:ext xmlns:c16="http://schemas.microsoft.com/office/drawing/2014/chart" uri="{C3380CC4-5D6E-409C-BE32-E72D297353CC}">
              <c16:uniqueId val="{00000002-8529-4533-8E82-CB83A4F66DB3}"/>
            </c:ext>
          </c:extLst>
        </c:ser>
        <c:ser>
          <c:idx val="3"/>
          <c:order val="3"/>
          <c:tx>
            <c:strRef>
              <c:f>'invest&amp;revenu'!$A$22</c:f>
              <c:strCache>
                <c:ptCount val="1"/>
                <c:pt idx="0">
                  <c:v>Vente de bétail</c:v>
                </c:pt>
              </c:strCache>
            </c:strRef>
          </c:tx>
          <c:spPr>
            <a:solidFill>
              <a:schemeClr val="accent4"/>
            </a:solidFill>
            <a:ln>
              <a:noFill/>
            </a:ln>
            <a:effectLst/>
          </c:spPr>
          <c:invertIfNegative val="0"/>
          <c:cat>
            <c:strRef>
              <c:f>'invest&amp;revenu'!$B$18:$D$18</c:f>
              <c:strCache>
                <c:ptCount val="3"/>
                <c:pt idx="0">
                  <c:v>Bovins</c:v>
                </c:pt>
                <c:pt idx="1">
                  <c:v>Ovins</c:v>
                </c:pt>
                <c:pt idx="2">
                  <c:v>Caprins</c:v>
                </c:pt>
              </c:strCache>
            </c:strRef>
          </c:cat>
          <c:val>
            <c:numRef>
              <c:f>'invest&amp;revenu'!$B$22:$D$22</c:f>
              <c:numCache>
                <c:formatCode>General</c:formatCode>
                <c:ptCount val="3"/>
                <c:pt idx="0">
                  <c:v>358923</c:v>
                </c:pt>
                <c:pt idx="1">
                  <c:v>411203</c:v>
                </c:pt>
                <c:pt idx="2">
                  <c:v>186607</c:v>
                </c:pt>
              </c:numCache>
            </c:numRef>
          </c:val>
          <c:extLst xmlns:c16r2="http://schemas.microsoft.com/office/drawing/2015/06/chart">
            <c:ext xmlns:c16="http://schemas.microsoft.com/office/drawing/2014/chart" uri="{C3380CC4-5D6E-409C-BE32-E72D297353CC}">
              <c16:uniqueId val="{00000003-8529-4533-8E82-CB83A4F66DB3}"/>
            </c:ext>
          </c:extLst>
        </c:ser>
        <c:dLbls>
          <c:showLegendKey val="0"/>
          <c:showVal val="0"/>
          <c:showCatName val="0"/>
          <c:showSerName val="0"/>
          <c:showPercent val="0"/>
          <c:showBubbleSize val="0"/>
        </c:dLbls>
        <c:gapWidth val="219"/>
        <c:overlap val="-27"/>
        <c:axId val="329084272"/>
        <c:axId val="223341944"/>
      </c:barChart>
      <c:catAx>
        <c:axId val="329084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23341944"/>
        <c:crosses val="autoZero"/>
        <c:auto val="1"/>
        <c:lblAlgn val="ctr"/>
        <c:lblOffset val="100"/>
        <c:noMultiLvlLbl val="0"/>
      </c:catAx>
      <c:valAx>
        <c:axId val="223341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084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Moyenne</a:t>
            </a:r>
            <a:r>
              <a:rPr lang="fr-FR" baseline="0"/>
              <a:t> des investissements et revenu par type d'animal</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'invest&amp;revenu'!$B$12</c:f>
              <c:strCache>
                <c:ptCount val="1"/>
                <c:pt idx="0">
                  <c:v>Investissement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'invest&amp;revenu'!$A$13:$A$15</c:f>
              <c:strCache>
                <c:ptCount val="3"/>
                <c:pt idx="0">
                  <c:v>Caprins</c:v>
                </c:pt>
                <c:pt idx="1">
                  <c:v>Bovins</c:v>
                </c:pt>
                <c:pt idx="2">
                  <c:v>Ovins</c:v>
                </c:pt>
              </c:strCache>
            </c:strRef>
          </c:cat>
          <c:val>
            <c:numRef>
              <c:f>'invest&amp;revenu'!$B$13:$B$15</c:f>
              <c:numCache>
                <c:formatCode>General</c:formatCode>
                <c:ptCount val="3"/>
                <c:pt idx="0">
                  <c:v>31521</c:v>
                </c:pt>
                <c:pt idx="1">
                  <c:v>150278</c:v>
                </c:pt>
                <c:pt idx="2">
                  <c:v>177692</c:v>
                </c:pt>
              </c:numCache>
            </c:numRef>
          </c:val>
          <c:extLst xmlns:c16r2="http://schemas.microsoft.com/office/drawing/2015/06/chart">
            <c:ext xmlns:c16="http://schemas.microsoft.com/office/drawing/2014/chart" uri="{C3380CC4-5D6E-409C-BE32-E72D297353CC}">
              <c16:uniqueId val="{00000000-95E8-469F-92D5-4F82D92330E3}"/>
            </c:ext>
          </c:extLst>
        </c:ser>
        <c:ser>
          <c:idx val="1"/>
          <c:order val="1"/>
          <c:tx>
            <c:strRef>
              <c:f>'invest&amp;revenu'!$C$12</c:f>
              <c:strCache>
                <c:ptCount val="1"/>
                <c:pt idx="0">
                  <c:v>Revenu</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'invest&amp;revenu'!$A$13:$A$15</c:f>
              <c:strCache>
                <c:ptCount val="3"/>
                <c:pt idx="0">
                  <c:v>Caprins</c:v>
                </c:pt>
                <c:pt idx="1">
                  <c:v>Bovins</c:v>
                </c:pt>
                <c:pt idx="2">
                  <c:v>Ovins</c:v>
                </c:pt>
              </c:strCache>
            </c:strRef>
          </c:cat>
          <c:val>
            <c:numRef>
              <c:f>'invest&amp;revenu'!$C$13:$C$15</c:f>
              <c:numCache>
                <c:formatCode>General</c:formatCode>
                <c:ptCount val="3"/>
                <c:pt idx="0">
                  <c:v>169507</c:v>
                </c:pt>
                <c:pt idx="1">
                  <c:v>233254</c:v>
                </c:pt>
                <c:pt idx="2">
                  <c:v>387261</c:v>
                </c:pt>
              </c:numCache>
            </c:numRef>
          </c:val>
          <c:extLst xmlns:c16r2="http://schemas.microsoft.com/office/drawing/2015/06/chart">
            <c:ext xmlns:c16="http://schemas.microsoft.com/office/drawing/2014/chart" uri="{C3380CC4-5D6E-409C-BE32-E72D297353CC}">
              <c16:uniqueId val="{00000001-95E8-469F-92D5-4F82D92330E3}"/>
            </c:ext>
          </c:extLst>
        </c:ser>
        <c:dLbls>
          <c:dLblPos val="outEnd"/>
          <c:showLegendKey val="0"/>
          <c:showVal val="1"/>
          <c:showCatName val="0"/>
          <c:showSerName val="0"/>
          <c:showPercent val="0"/>
          <c:showBubbleSize val="0"/>
        </c:dLbls>
        <c:gapWidth val="219"/>
        <c:overlap val="-27"/>
        <c:axId val="223342728"/>
        <c:axId val="223343120"/>
      </c:barChart>
      <c:catAx>
        <c:axId val="223342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23343120"/>
        <c:crosses val="autoZero"/>
        <c:auto val="1"/>
        <c:lblAlgn val="ctr"/>
        <c:lblOffset val="100"/>
        <c:noMultiLvlLbl val="0"/>
      </c:catAx>
      <c:valAx>
        <c:axId val="223343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23342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Avez-vous</a:t>
            </a:r>
            <a:r>
              <a:rPr lang="fr-FR" baseline="0"/>
              <a:t> déjà entendu parler de l'assurance avant?</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percentStacked"/>
        <c:varyColors val="0"/>
        <c:ser>
          <c:idx val="0"/>
          <c:order val="0"/>
          <c:tx>
            <c:strRef>
              <c:f>'Connaissance et souscription'!$A$9</c:f>
              <c:strCache>
                <c:ptCount val="1"/>
                <c:pt idx="0">
                  <c:v>Non</c:v>
                </c:pt>
              </c:strCache>
            </c:strRef>
          </c:tx>
          <c:spPr>
            <a:solidFill>
              <a:schemeClr val="accent1"/>
            </a:solidFill>
            <a:ln>
              <a:noFill/>
            </a:ln>
            <a:effectLst/>
          </c:spPr>
          <c:invertIfNegative val="0"/>
          <c:cat>
            <c:strRef>
              <c:f>'Connaissance et souscription'!$B$8:$G$8</c:f>
              <c:strCache>
                <c:ptCount val="6"/>
                <c:pt idx="0">
                  <c:v>Podor </c:v>
                </c:pt>
                <c:pt idx="1">
                  <c:v>Dagana</c:v>
                </c:pt>
                <c:pt idx="2">
                  <c:v>Linguère</c:v>
                </c:pt>
                <c:pt idx="3">
                  <c:v>Ranérou</c:v>
                </c:pt>
                <c:pt idx="4">
                  <c:v>Koumpentoum</c:v>
                </c:pt>
                <c:pt idx="5">
                  <c:v>Total</c:v>
                </c:pt>
              </c:strCache>
            </c:strRef>
          </c:cat>
          <c:val>
            <c:numRef>
              <c:f>'Connaissance et souscription'!$B$9:$G$9</c:f>
              <c:numCache>
                <c:formatCode>0</c:formatCode>
                <c:ptCount val="6"/>
                <c:pt idx="0">
                  <c:v>23.75</c:v>
                </c:pt>
                <c:pt idx="1">
                  <c:v>10</c:v>
                </c:pt>
                <c:pt idx="2">
                  <c:v>13</c:v>
                </c:pt>
                <c:pt idx="3">
                  <c:v>12.5</c:v>
                </c:pt>
                <c:pt idx="4">
                  <c:v>22.5</c:v>
                </c:pt>
                <c:pt idx="5">
                  <c:v>16.666666666666668</c:v>
                </c:pt>
              </c:numCache>
            </c:numRef>
          </c:val>
          <c:extLst xmlns:c16r2="http://schemas.microsoft.com/office/drawing/2015/06/chart">
            <c:ext xmlns:c16="http://schemas.microsoft.com/office/drawing/2014/chart" uri="{C3380CC4-5D6E-409C-BE32-E72D297353CC}">
              <c16:uniqueId val="{00000000-A46C-4E69-879B-E6FFA0956DE4}"/>
            </c:ext>
          </c:extLst>
        </c:ser>
        <c:ser>
          <c:idx val="1"/>
          <c:order val="1"/>
          <c:tx>
            <c:strRef>
              <c:f>'Connaissance et souscription'!$A$10</c:f>
              <c:strCache>
                <c:ptCount val="1"/>
                <c:pt idx="0">
                  <c:v>Oui</c:v>
                </c:pt>
              </c:strCache>
            </c:strRef>
          </c:tx>
          <c:spPr>
            <a:solidFill>
              <a:schemeClr val="accent2"/>
            </a:solidFill>
            <a:ln>
              <a:noFill/>
            </a:ln>
            <a:effectLst/>
          </c:spPr>
          <c:invertIfNegative val="0"/>
          <c:cat>
            <c:strRef>
              <c:f>'Connaissance et souscription'!$B$8:$G$8</c:f>
              <c:strCache>
                <c:ptCount val="6"/>
                <c:pt idx="0">
                  <c:v>Podor </c:v>
                </c:pt>
                <c:pt idx="1">
                  <c:v>Dagana</c:v>
                </c:pt>
                <c:pt idx="2">
                  <c:v>Linguère</c:v>
                </c:pt>
                <c:pt idx="3">
                  <c:v>Ranérou</c:v>
                </c:pt>
                <c:pt idx="4">
                  <c:v>Koumpentoum</c:v>
                </c:pt>
                <c:pt idx="5">
                  <c:v>Total</c:v>
                </c:pt>
              </c:strCache>
            </c:strRef>
          </c:cat>
          <c:val>
            <c:numRef>
              <c:f>'Connaissance et souscription'!$B$10:$G$10</c:f>
              <c:numCache>
                <c:formatCode>0</c:formatCode>
                <c:ptCount val="6"/>
                <c:pt idx="0">
                  <c:v>76.25</c:v>
                </c:pt>
                <c:pt idx="1">
                  <c:v>90</c:v>
                </c:pt>
                <c:pt idx="2">
                  <c:v>87</c:v>
                </c:pt>
                <c:pt idx="3">
                  <c:v>87.5</c:v>
                </c:pt>
                <c:pt idx="4">
                  <c:v>77.5</c:v>
                </c:pt>
                <c:pt idx="5">
                  <c:v>83.333333333333329</c:v>
                </c:pt>
              </c:numCache>
            </c:numRef>
          </c:val>
          <c:extLst xmlns:c16r2="http://schemas.microsoft.com/office/drawing/2015/06/chart">
            <c:ext xmlns:c16="http://schemas.microsoft.com/office/drawing/2014/chart" uri="{C3380CC4-5D6E-409C-BE32-E72D297353CC}">
              <c16:uniqueId val="{00000001-A46C-4E69-879B-E6FFA0956DE4}"/>
            </c:ext>
          </c:extLst>
        </c:ser>
        <c:dLbls>
          <c:showLegendKey val="0"/>
          <c:showVal val="0"/>
          <c:showCatName val="0"/>
          <c:showSerName val="0"/>
          <c:showPercent val="0"/>
          <c:showBubbleSize val="0"/>
        </c:dLbls>
        <c:gapWidth val="219"/>
        <c:overlap val="100"/>
        <c:axId val="223319096"/>
        <c:axId val="223319488"/>
      </c:barChart>
      <c:catAx>
        <c:axId val="223319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23319488"/>
        <c:crosses val="autoZero"/>
        <c:auto val="1"/>
        <c:lblAlgn val="ctr"/>
        <c:lblOffset val="100"/>
        <c:noMultiLvlLbl val="0"/>
      </c:catAx>
      <c:valAx>
        <c:axId val="2233194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23319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De</a:t>
            </a:r>
            <a:r>
              <a:rPr lang="fr-FR" baseline="0"/>
              <a:t> quel type d'assurance avez-vous déjà entendu parler?</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'Connaissance et souscription'!$A$20:$A$24</c:f>
              <c:strCache>
                <c:ptCount val="5"/>
                <c:pt idx="0">
                  <c:v>Autre</c:v>
                </c:pt>
                <c:pt idx="1">
                  <c:v>Santé</c:v>
                </c:pt>
                <c:pt idx="2">
                  <c:v>Agricole</c:v>
                </c:pt>
                <c:pt idx="3">
                  <c:v>Bétail</c:v>
                </c:pt>
                <c:pt idx="4">
                  <c:v>Automobile</c:v>
                </c:pt>
              </c:strCache>
            </c:strRef>
          </c:cat>
          <c:val>
            <c:numRef>
              <c:f>'Connaissance et souscription'!$B$20:$B$24</c:f>
              <c:numCache>
                <c:formatCode>General</c:formatCode>
                <c:ptCount val="5"/>
                <c:pt idx="0">
                  <c:v>5.2</c:v>
                </c:pt>
                <c:pt idx="1">
                  <c:v>14</c:v>
                </c:pt>
                <c:pt idx="2">
                  <c:v>20.399999999999999</c:v>
                </c:pt>
                <c:pt idx="3">
                  <c:v>36.4</c:v>
                </c:pt>
                <c:pt idx="4">
                  <c:v>87.2</c:v>
                </c:pt>
              </c:numCache>
            </c:numRef>
          </c:val>
          <c:extLst xmlns:c16r2="http://schemas.microsoft.com/office/drawing/2015/06/chart">
            <c:ext xmlns:c16="http://schemas.microsoft.com/office/drawing/2014/chart" uri="{C3380CC4-5D6E-409C-BE32-E72D297353CC}">
              <c16:uniqueId val="{00000000-15BD-4F26-AE02-FE9C5138A989}"/>
            </c:ext>
          </c:extLst>
        </c:ser>
        <c:dLbls>
          <c:dLblPos val="outEnd"/>
          <c:showLegendKey val="0"/>
          <c:showVal val="1"/>
          <c:showCatName val="0"/>
          <c:showSerName val="0"/>
          <c:showPercent val="0"/>
          <c:showBubbleSize val="0"/>
        </c:dLbls>
        <c:gapWidth val="219"/>
        <c:overlap val="-27"/>
        <c:axId val="223320272"/>
        <c:axId val="223320664"/>
      </c:barChart>
      <c:catAx>
        <c:axId val="223320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23320664"/>
        <c:crosses val="autoZero"/>
        <c:auto val="1"/>
        <c:lblAlgn val="ctr"/>
        <c:lblOffset val="100"/>
        <c:noMultiLvlLbl val="0"/>
      </c:catAx>
      <c:valAx>
        <c:axId val="223320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23320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Avez-vous</a:t>
            </a:r>
            <a:r>
              <a:rPr lang="fr-FR" baseline="0"/>
              <a:t> déjà souscrit à une quelconque forme d'assurance?</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percentStacked"/>
        <c:varyColors val="0"/>
        <c:ser>
          <c:idx val="0"/>
          <c:order val="0"/>
          <c:tx>
            <c:strRef>
              <c:f>'Connaissance et souscription'!$A$14</c:f>
              <c:strCache>
                <c:ptCount val="1"/>
                <c:pt idx="0">
                  <c:v>Non</c:v>
                </c:pt>
              </c:strCache>
            </c:strRef>
          </c:tx>
          <c:spPr>
            <a:solidFill>
              <a:schemeClr val="accent1"/>
            </a:solidFill>
            <a:ln>
              <a:noFill/>
            </a:ln>
            <a:effectLst/>
          </c:spPr>
          <c:invertIfNegative val="0"/>
          <c:cat>
            <c:strRef>
              <c:f>'Connaissance et souscription'!$B$13:$G$13</c:f>
              <c:strCache>
                <c:ptCount val="6"/>
                <c:pt idx="0">
                  <c:v>Podor</c:v>
                </c:pt>
                <c:pt idx="1">
                  <c:v>Dagana</c:v>
                </c:pt>
                <c:pt idx="2">
                  <c:v>Linguère</c:v>
                </c:pt>
                <c:pt idx="3">
                  <c:v>Ranérou</c:v>
                </c:pt>
                <c:pt idx="4">
                  <c:v>Koumpentoum</c:v>
                </c:pt>
                <c:pt idx="5">
                  <c:v>Total</c:v>
                </c:pt>
              </c:strCache>
            </c:strRef>
          </c:cat>
          <c:val>
            <c:numRef>
              <c:f>'Connaissance et souscription'!$B$14:$G$14</c:f>
              <c:numCache>
                <c:formatCode>0</c:formatCode>
                <c:ptCount val="6"/>
                <c:pt idx="0">
                  <c:v>96.721311475409834</c:v>
                </c:pt>
                <c:pt idx="1">
                  <c:v>86.111111111111114</c:v>
                </c:pt>
                <c:pt idx="2">
                  <c:v>97.701149425287355</c:v>
                </c:pt>
                <c:pt idx="3">
                  <c:v>88.571428571428569</c:v>
                </c:pt>
                <c:pt idx="4">
                  <c:v>77.41935483870968</c:v>
                </c:pt>
                <c:pt idx="5" formatCode="General">
                  <c:v>92</c:v>
                </c:pt>
              </c:numCache>
            </c:numRef>
          </c:val>
          <c:extLst xmlns:c16r2="http://schemas.microsoft.com/office/drawing/2015/06/chart">
            <c:ext xmlns:c16="http://schemas.microsoft.com/office/drawing/2014/chart" uri="{C3380CC4-5D6E-409C-BE32-E72D297353CC}">
              <c16:uniqueId val="{00000000-BBE7-47B6-AFEC-068EB00FBBAA}"/>
            </c:ext>
          </c:extLst>
        </c:ser>
        <c:ser>
          <c:idx val="1"/>
          <c:order val="1"/>
          <c:tx>
            <c:strRef>
              <c:f>'Connaissance et souscription'!$A$15</c:f>
              <c:strCache>
                <c:ptCount val="1"/>
                <c:pt idx="0">
                  <c:v>Oui</c:v>
                </c:pt>
              </c:strCache>
            </c:strRef>
          </c:tx>
          <c:spPr>
            <a:solidFill>
              <a:schemeClr val="accent2"/>
            </a:solidFill>
            <a:ln>
              <a:noFill/>
            </a:ln>
            <a:effectLst/>
          </c:spPr>
          <c:invertIfNegative val="0"/>
          <c:cat>
            <c:strRef>
              <c:f>'Connaissance et souscription'!$B$13:$G$13</c:f>
              <c:strCache>
                <c:ptCount val="6"/>
                <c:pt idx="0">
                  <c:v>Podor</c:v>
                </c:pt>
                <c:pt idx="1">
                  <c:v>Dagana</c:v>
                </c:pt>
                <c:pt idx="2">
                  <c:v>Linguère</c:v>
                </c:pt>
                <c:pt idx="3">
                  <c:v>Ranérou</c:v>
                </c:pt>
                <c:pt idx="4">
                  <c:v>Koumpentoum</c:v>
                </c:pt>
                <c:pt idx="5">
                  <c:v>Total</c:v>
                </c:pt>
              </c:strCache>
            </c:strRef>
          </c:cat>
          <c:val>
            <c:numRef>
              <c:f>'Connaissance et souscription'!$B$15:$G$15</c:f>
              <c:numCache>
                <c:formatCode>0</c:formatCode>
                <c:ptCount val="6"/>
                <c:pt idx="0">
                  <c:v>3.278688524590164</c:v>
                </c:pt>
                <c:pt idx="1">
                  <c:v>13.888888888888889</c:v>
                </c:pt>
                <c:pt idx="2">
                  <c:v>2.2988505747126435</c:v>
                </c:pt>
                <c:pt idx="3">
                  <c:v>11.428571428571429</c:v>
                </c:pt>
                <c:pt idx="4">
                  <c:v>22.580645161290324</c:v>
                </c:pt>
                <c:pt idx="5" formatCode="General">
                  <c:v>8</c:v>
                </c:pt>
              </c:numCache>
            </c:numRef>
          </c:val>
          <c:extLst xmlns:c16r2="http://schemas.microsoft.com/office/drawing/2015/06/chart">
            <c:ext xmlns:c16="http://schemas.microsoft.com/office/drawing/2014/chart" uri="{C3380CC4-5D6E-409C-BE32-E72D297353CC}">
              <c16:uniqueId val="{00000001-BBE7-47B6-AFEC-068EB00FBBAA}"/>
            </c:ext>
          </c:extLst>
        </c:ser>
        <c:dLbls>
          <c:showLegendKey val="0"/>
          <c:showVal val="0"/>
          <c:showCatName val="0"/>
          <c:showSerName val="0"/>
          <c:showPercent val="0"/>
          <c:showBubbleSize val="0"/>
        </c:dLbls>
        <c:gapWidth val="219"/>
        <c:overlap val="100"/>
        <c:axId val="329377824"/>
        <c:axId val="329378216"/>
      </c:barChart>
      <c:catAx>
        <c:axId val="329377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378216"/>
        <c:crosses val="autoZero"/>
        <c:auto val="1"/>
        <c:lblAlgn val="ctr"/>
        <c:lblOffset val="100"/>
        <c:noMultiLvlLbl val="0"/>
      </c:catAx>
      <c:valAx>
        <c:axId val="3293782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377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Raison</a:t>
            </a:r>
            <a:r>
              <a:rPr lang="fr-FR" baseline="0"/>
              <a:t> de l'absence de souscriptoin à l'assurance bétail (en %)</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'Connaissance et souscription'!$B$28:$B$34</c:f>
              <c:strCache>
                <c:ptCount val="7"/>
                <c:pt idx="0">
                  <c:v>L'assurance bétail est trop chère</c:v>
                </c:pt>
                <c:pt idx="1">
                  <c:v>Pas besoin de l'assurance</c:v>
                </c:pt>
                <c:pt idx="2">
                  <c:v>Pas de confiance à l'assurance</c:v>
                </c:pt>
                <c:pt idx="3">
                  <c:v>Ne sais pas</c:v>
                </c:pt>
                <c:pt idx="4">
                  <c:v>Autre raison</c:v>
                </c:pt>
                <c:pt idx="5">
                  <c:v>Ne comprends pas comment ça marche</c:v>
                </c:pt>
                <c:pt idx="6">
                  <c:v>Jamais entendu parler de l'assurance</c:v>
                </c:pt>
              </c:strCache>
            </c:strRef>
          </c:cat>
          <c:val>
            <c:numRef>
              <c:f>'Connaissance et souscription'!$C$28:$C$34</c:f>
              <c:numCache>
                <c:formatCode>0.0</c:formatCode>
                <c:ptCount val="7"/>
                <c:pt idx="0">
                  <c:v>0.56000000000000005</c:v>
                </c:pt>
                <c:pt idx="1">
                  <c:v>1.69</c:v>
                </c:pt>
                <c:pt idx="2">
                  <c:v>2.81</c:v>
                </c:pt>
                <c:pt idx="3">
                  <c:v>4.49</c:v>
                </c:pt>
                <c:pt idx="4">
                  <c:v>8.43</c:v>
                </c:pt>
                <c:pt idx="5">
                  <c:v>31.46</c:v>
                </c:pt>
                <c:pt idx="6">
                  <c:v>50.56</c:v>
                </c:pt>
              </c:numCache>
            </c:numRef>
          </c:val>
          <c:extLst xmlns:c16r2="http://schemas.microsoft.com/office/drawing/2015/06/chart">
            <c:ext xmlns:c16="http://schemas.microsoft.com/office/drawing/2014/chart" uri="{C3380CC4-5D6E-409C-BE32-E72D297353CC}">
              <c16:uniqueId val="{00000000-B6A2-4E51-BE8E-95A28DADEDBD}"/>
            </c:ext>
          </c:extLst>
        </c:ser>
        <c:dLbls>
          <c:dLblPos val="outEnd"/>
          <c:showLegendKey val="0"/>
          <c:showVal val="1"/>
          <c:showCatName val="0"/>
          <c:showSerName val="0"/>
          <c:showPercent val="0"/>
          <c:showBubbleSize val="0"/>
        </c:dLbls>
        <c:gapWidth val="150"/>
        <c:axId val="329379000"/>
        <c:axId val="329379392"/>
      </c:barChart>
      <c:catAx>
        <c:axId val="32937900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379392"/>
        <c:crosses val="autoZero"/>
        <c:auto val="1"/>
        <c:lblAlgn val="ctr"/>
        <c:lblOffset val="100"/>
        <c:noMultiLvlLbl val="0"/>
      </c:catAx>
      <c:valAx>
        <c:axId val="329379392"/>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3790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Feuil6!$B$67</c:f>
              <c:strCache>
                <c:ptCount val="1"/>
                <c:pt idx="0">
                  <c:v>Niveau de confiance au système des assurances.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Feuil6!$A$68:$A$72</c:f>
              <c:strCache>
                <c:ptCount val="5"/>
                <c:pt idx="0">
                  <c:v>Aucune confiance</c:v>
                </c:pt>
                <c:pt idx="1">
                  <c:v>Beaucoup de confiance</c:v>
                </c:pt>
                <c:pt idx="2">
                  <c:v>Ne sait pas</c:v>
                </c:pt>
                <c:pt idx="3">
                  <c:v>Un peu de confiance</c:v>
                </c:pt>
                <c:pt idx="4">
                  <c:v>Assez de confiance</c:v>
                </c:pt>
              </c:strCache>
            </c:strRef>
          </c:cat>
          <c:val>
            <c:numRef>
              <c:f>Feuil6!$B$68:$B$72</c:f>
              <c:numCache>
                <c:formatCode>General</c:formatCode>
                <c:ptCount val="5"/>
                <c:pt idx="0">
                  <c:v>2.67</c:v>
                </c:pt>
                <c:pt idx="1">
                  <c:v>16.670000000000002</c:v>
                </c:pt>
                <c:pt idx="2">
                  <c:v>20</c:v>
                </c:pt>
                <c:pt idx="3">
                  <c:v>22</c:v>
                </c:pt>
                <c:pt idx="4">
                  <c:v>38.67</c:v>
                </c:pt>
              </c:numCache>
            </c:numRef>
          </c:val>
          <c:extLst xmlns:c16r2="http://schemas.microsoft.com/office/drawing/2015/06/chart">
            <c:ext xmlns:c16="http://schemas.microsoft.com/office/drawing/2014/chart" uri="{C3380CC4-5D6E-409C-BE32-E72D297353CC}">
              <c16:uniqueId val="{00000000-961F-42BA-8927-576EC70A5B2B}"/>
            </c:ext>
          </c:extLst>
        </c:ser>
        <c:dLbls>
          <c:dLblPos val="outEnd"/>
          <c:showLegendKey val="0"/>
          <c:showVal val="1"/>
          <c:showCatName val="0"/>
          <c:showSerName val="0"/>
          <c:showPercent val="0"/>
          <c:showBubbleSize val="0"/>
        </c:dLbls>
        <c:gapWidth val="182"/>
        <c:axId val="329380176"/>
        <c:axId val="329380568"/>
      </c:barChart>
      <c:catAx>
        <c:axId val="329380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380568"/>
        <c:crosses val="autoZero"/>
        <c:auto val="1"/>
        <c:lblAlgn val="ctr"/>
        <c:lblOffset val="100"/>
        <c:noMultiLvlLbl val="0"/>
      </c:catAx>
      <c:valAx>
        <c:axId val="329380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380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Appréciation</a:t>
            </a:r>
            <a:r>
              <a:rPr lang="fr-FR" baseline="0"/>
              <a:t> de l'assurance: indicielle et classique</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'Appréciation class vs indic'!$B$1</c:f>
              <c:strCache>
                <c:ptCount val="1"/>
                <c:pt idx="0">
                  <c:v>Classique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'Appréciation class vs indic'!$A$2:$A$6</c:f>
              <c:strCache>
                <c:ptCount val="5"/>
                <c:pt idx="0">
                  <c:v>Pas bien du tout</c:v>
                </c:pt>
                <c:pt idx="1">
                  <c:v>Je ne sais pas</c:v>
                </c:pt>
                <c:pt idx="2">
                  <c:v>Pas bien</c:v>
                </c:pt>
                <c:pt idx="3">
                  <c:v>Très bien</c:v>
                </c:pt>
                <c:pt idx="4">
                  <c:v>Bien</c:v>
                </c:pt>
              </c:strCache>
            </c:strRef>
          </c:cat>
          <c:val>
            <c:numRef>
              <c:f>'Appréciation class vs indic'!$B$2:$B$6</c:f>
              <c:numCache>
                <c:formatCode>0</c:formatCode>
                <c:ptCount val="5"/>
                <c:pt idx="0">
                  <c:v>1.67</c:v>
                </c:pt>
                <c:pt idx="1">
                  <c:v>3</c:v>
                </c:pt>
                <c:pt idx="2">
                  <c:v>11.67</c:v>
                </c:pt>
                <c:pt idx="3">
                  <c:v>25.67</c:v>
                </c:pt>
                <c:pt idx="4">
                  <c:v>58</c:v>
                </c:pt>
              </c:numCache>
            </c:numRef>
          </c:val>
          <c:extLst xmlns:c16r2="http://schemas.microsoft.com/office/drawing/2015/06/chart">
            <c:ext xmlns:c16="http://schemas.microsoft.com/office/drawing/2014/chart" uri="{C3380CC4-5D6E-409C-BE32-E72D297353CC}">
              <c16:uniqueId val="{00000000-2C69-4D97-8C2F-7C325D289FC9}"/>
            </c:ext>
          </c:extLst>
        </c:ser>
        <c:ser>
          <c:idx val="1"/>
          <c:order val="1"/>
          <c:tx>
            <c:strRef>
              <c:f>'Appréciation class vs indic'!$C$1</c:f>
              <c:strCache>
                <c:ptCount val="1"/>
                <c:pt idx="0">
                  <c:v>Indicielle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'Appréciation class vs indic'!$A$2:$A$6</c:f>
              <c:strCache>
                <c:ptCount val="5"/>
                <c:pt idx="0">
                  <c:v>Pas bien du tout</c:v>
                </c:pt>
                <c:pt idx="1">
                  <c:v>Je ne sais pas</c:v>
                </c:pt>
                <c:pt idx="2">
                  <c:v>Pas bien</c:v>
                </c:pt>
                <c:pt idx="3">
                  <c:v>Très bien</c:v>
                </c:pt>
                <c:pt idx="4">
                  <c:v>Bien</c:v>
                </c:pt>
              </c:strCache>
            </c:strRef>
          </c:cat>
          <c:val>
            <c:numRef>
              <c:f>'Appréciation class vs indic'!$C$2:$C$6</c:f>
              <c:numCache>
                <c:formatCode>0</c:formatCode>
                <c:ptCount val="5"/>
                <c:pt idx="0">
                  <c:v>0</c:v>
                </c:pt>
                <c:pt idx="1">
                  <c:v>3</c:v>
                </c:pt>
                <c:pt idx="2">
                  <c:v>1.33</c:v>
                </c:pt>
                <c:pt idx="3">
                  <c:v>49.33</c:v>
                </c:pt>
                <c:pt idx="4">
                  <c:v>46.33</c:v>
                </c:pt>
              </c:numCache>
            </c:numRef>
          </c:val>
          <c:extLst xmlns:c16r2="http://schemas.microsoft.com/office/drawing/2015/06/chart">
            <c:ext xmlns:c16="http://schemas.microsoft.com/office/drawing/2014/chart" uri="{C3380CC4-5D6E-409C-BE32-E72D297353CC}">
              <c16:uniqueId val="{00000001-2C69-4D97-8C2F-7C325D289FC9}"/>
            </c:ext>
          </c:extLst>
        </c:ser>
        <c:dLbls>
          <c:dLblPos val="outEnd"/>
          <c:showLegendKey val="0"/>
          <c:showVal val="1"/>
          <c:showCatName val="0"/>
          <c:showSerName val="0"/>
          <c:showPercent val="0"/>
          <c:showBubbleSize val="0"/>
        </c:dLbls>
        <c:gapWidth val="219"/>
        <c:overlap val="-27"/>
        <c:axId val="329283496"/>
        <c:axId val="329283888"/>
      </c:barChart>
      <c:catAx>
        <c:axId val="329283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283888"/>
        <c:crosses val="autoZero"/>
        <c:auto val="1"/>
        <c:lblAlgn val="ctr"/>
        <c:lblOffset val="100"/>
        <c:noMultiLvlLbl val="0"/>
      </c:catAx>
      <c:valAx>
        <c:axId val="3292838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283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Préférence entre</a:t>
            </a:r>
            <a:r>
              <a:rPr lang="fr-FR" baseline="0"/>
              <a:t> l'assurance classique et indicielle</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'Appréciation class vs indic'!$A$14</c:f>
              <c:strCache>
                <c:ptCount val="1"/>
                <c:pt idx="0">
                  <c:v>Indifférent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'Appréciation class vs indic'!$B$13:$G$13</c:f>
              <c:strCache>
                <c:ptCount val="6"/>
                <c:pt idx="0">
                  <c:v>Podor</c:v>
                </c:pt>
                <c:pt idx="1">
                  <c:v>Dagana</c:v>
                </c:pt>
                <c:pt idx="2">
                  <c:v>Linguère</c:v>
                </c:pt>
                <c:pt idx="3">
                  <c:v>Ranérou</c:v>
                </c:pt>
                <c:pt idx="4">
                  <c:v>Koumpentoum</c:v>
                </c:pt>
                <c:pt idx="5">
                  <c:v>Total</c:v>
                </c:pt>
              </c:strCache>
            </c:strRef>
          </c:cat>
          <c:val>
            <c:numRef>
              <c:f>'Appréciation class vs indic'!$B$14:$G$14</c:f>
              <c:numCache>
                <c:formatCode>General</c:formatCode>
                <c:ptCount val="6"/>
                <c:pt idx="0">
                  <c:v>19</c:v>
                </c:pt>
                <c:pt idx="1">
                  <c:v>5</c:v>
                </c:pt>
                <c:pt idx="2">
                  <c:v>11</c:v>
                </c:pt>
                <c:pt idx="3">
                  <c:v>7</c:v>
                </c:pt>
                <c:pt idx="4">
                  <c:v>1</c:v>
                </c:pt>
                <c:pt idx="5">
                  <c:v>43</c:v>
                </c:pt>
              </c:numCache>
            </c:numRef>
          </c:val>
          <c:extLst xmlns:c16r2="http://schemas.microsoft.com/office/drawing/2015/06/chart">
            <c:ext xmlns:c16="http://schemas.microsoft.com/office/drawing/2014/chart" uri="{C3380CC4-5D6E-409C-BE32-E72D297353CC}">
              <c16:uniqueId val="{00000000-3C96-4841-89A6-FE2910E467AC}"/>
            </c:ext>
          </c:extLst>
        </c:ser>
        <c:ser>
          <c:idx val="1"/>
          <c:order val="1"/>
          <c:tx>
            <c:strRef>
              <c:f>'Appréciation class vs indic'!$A$15</c:f>
              <c:strCache>
                <c:ptCount val="1"/>
                <c:pt idx="0">
                  <c:v>classique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'Appréciation class vs indic'!$B$13:$G$13</c:f>
              <c:strCache>
                <c:ptCount val="6"/>
                <c:pt idx="0">
                  <c:v>Podor</c:v>
                </c:pt>
                <c:pt idx="1">
                  <c:v>Dagana</c:v>
                </c:pt>
                <c:pt idx="2">
                  <c:v>Linguère</c:v>
                </c:pt>
                <c:pt idx="3">
                  <c:v>Ranérou</c:v>
                </c:pt>
                <c:pt idx="4">
                  <c:v>Koumpentoum</c:v>
                </c:pt>
                <c:pt idx="5">
                  <c:v>Total</c:v>
                </c:pt>
              </c:strCache>
            </c:strRef>
          </c:cat>
          <c:val>
            <c:numRef>
              <c:f>'Appréciation class vs indic'!$B$15:$G$15</c:f>
              <c:numCache>
                <c:formatCode>General</c:formatCode>
                <c:ptCount val="6"/>
                <c:pt idx="0">
                  <c:v>22</c:v>
                </c:pt>
                <c:pt idx="1">
                  <c:v>9</c:v>
                </c:pt>
                <c:pt idx="2">
                  <c:v>12</c:v>
                </c:pt>
                <c:pt idx="3">
                  <c:v>2</c:v>
                </c:pt>
                <c:pt idx="4">
                  <c:v>2</c:v>
                </c:pt>
                <c:pt idx="5">
                  <c:v>47</c:v>
                </c:pt>
              </c:numCache>
            </c:numRef>
          </c:val>
          <c:extLst xmlns:c16r2="http://schemas.microsoft.com/office/drawing/2015/06/chart">
            <c:ext xmlns:c16="http://schemas.microsoft.com/office/drawing/2014/chart" uri="{C3380CC4-5D6E-409C-BE32-E72D297353CC}">
              <c16:uniqueId val="{00000001-3C96-4841-89A6-FE2910E467AC}"/>
            </c:ext>
          </c:extLst>
        </c:ser>
        <c:ser>
          <c:idx val="2"/>
          <c:order val="2"/>
          <c:tx>
            <c:strRef>
              <c:f>'Appréciation class vs indic'!$A$16</c:f>
              <c:strCache>
                <c:ptCount val="1"/>
                <c:pt idx="0">
                  <c:v>indicielle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'Appréciation class vs indic'!$B$13:$G$13</c:f>
              <c:strCache>
                <c:ptCount val="6"/>
                <c:pt idx="0">
                  <c:v>Podor</c:v>
                </c:pt>
                <c:pt idx="1">
                  <c:v>Dagana</c:v>
                </c:pt>
                <c:pt idx="2">
                  <c:v>Linguère</c:v>
                </c:pt>
                <c:pt idx="3">
                  <c:v>Ranérou</c:v>
                </c:pt>
                <c:pt idx="4">
                  <c:v>Koumpentoum</c:v>
                </c:pt>
                <c:pt idx="5">
                  <c:v>Total</c:v>
                </c:pt>
              </c:strCache>
            </c:strRef>
          </c:cat>
          <c:val>
            <c:numRef>
              <c:f>'Appréciation class vs indic'!$B$16:$G$16</c:f>
              <c:numCache>
                <c:formatCode>General</c:formatCode>
                <c:ptCount val="6"/>
                <c:pt idx="0">
                  <c:v>39</c:v>
                </c:pt>
                <c:pt idx="1">
                  <c:v>26</c:v>
                </c:pt>
                <c:pt idx="2">
                  <c:v>77</c:v>
                </c:pt>
                <c:pt idx="3">
                  <c:v>31</c:v>
                </c:pt>
                <c:pt idx="4">
                  <c:v>37</c:v>
                </c:pt>
                <c:pt idx="5">
                  <c:v>210</c:v>
                </c:pt>
              </c:numCache>
            </c:numRef>
          </c:val>
          <c:extLst xmlns:c16r2="http://schemas.microsoft.com/office/drawing/2015/06/chart">
            <c:ext xmlns:c16="http://schemas.microsoft.com/office/drawing/2014/chart" uri="{C3380CC4-5D6E-409C-BE32-E72D297353CC}">
              <c16:uniqueId val="{00000002-3C96-4841-89A6-FE2910E467AC}"/>
            </c:ext>
          </c:extLst>
        </c:ser>
        <c:ser>
          <c:idx val="3"/>
          <c:order val="3"/>
          <c:tx>
            <c:strRef>
              <c:f>'Appréciation class vs indic'!$A$17</c:f>
              <c:strCache>
                <c:ptCount val="1"/>
                <c:pt idx="0">
                  <c:v>Total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'Appréciation class vs indic'!$B$13:$G$13</c:f>
              <c:strCache>
                <c:ptCount val="6"/>
                <c:pt idx="0">
                  <c:v>Podor</c:v>
                </c:pt>
                <c:pt idx="1">
                  <c:v>Dagana</c:v>
                </c:pt>
                <c:pt idx="2">
                  <c:v>Linguère</c:v>
                </c:pt>
                <c:pt idx="3">
                  <c:v>Ranérou</c:v>
                </c:pt>
                <c:pt idx="4">
                  <c:v>Koumpentoum</c:v>
                </c:pt>
                <c:pt idx="5">
                  <c:v>Total</c:v>
                </c:pt>
              </c:strCache>
            </c:strRef>
          </c:cat>
          <c:val>
            <c:numRef>
              <c:f>'Appréciation class vs indic'!$B$17:$G$17</c:f>
              <c:numCache>
                <c:formatCode>General</c:formatCode>
                <c:ptCount val="6"/>
                <c:pt idx="0">
                  <c:v>80</c:v>
                </c:pt>
                <c:pt idx="1">
                  <c:v>40</c:v>
                </c:pt>
                <c:pt idx="2">
                  <c:v>100</c:v>
                </c:pt>
                <c:pt idx="3">
                  <c:v>40</c:v>
                </c:pt>
                <c:pt idx="4">
                  <c:v>40</c:v>
                </c:pt>
                <c:pt idx="5">
                  <c:v>300</c:v>
                </c:pt>
              </c:numCache>
            </c:numRef>
          </c:val>
          <c:extLst xmlns:c16r2="http://schemas.microsoft.com/office/drawing/2015/06/chart">
            <c:ext xmlns:c16="http://schemas.microsoft.com/office/drawing/2014/chart" uri="{C3380CC4-5D6E-409C-BE32-E72D297353CC}">
              <c16:uniqueId val="{00000003-3C96-4841-89A6-FE2910E467AC}"/>
            </c:ext>
          </c:extLst>
        </c:ser>
        <c:dLbls>
          <c:dLblPos val="outEnd"/>
          <c:showLegendKey val="0"/>
          <c:showVal val="1"/>
          <c:showCatName val="0"/>
          <c:showSerName val="0"/>
          <c:showPercent val="0"/>
          <c:showBubbleSize val="0"/>
        </c:dLbls>
        <c:gapWidth val="219"/>
        <c:overlap val="-27"/>
        <c:axId val="329284672"/>
        <c:axId val="329285064"/>
      </c:barChart>
      <c:catAx>
        <c:axId val="329284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285064"/>
        <c:crosses val="autoZero"/>
        <c:auto val="1"/>
        <c:lblAlgn val="ctr"/>
        <c:lblOffset val="100"/>
        <c:noMultiLvlLbl val="0"/>
      </c:catAx>
      <c:valAx>
        <c:axId val="329285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284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Risques</a:t>
            </a:r>
            <a:r>
              <a:rPr lang="fr-FR" baseline="0"/>
              <a:t> à assurer</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percentStacked"/>
        <c:varyColors val="0"/>
        <c:ser>
          <c:idx val="0"/>
          <c:order val="0"/>
          <c:tx>
            <c:strRef>
              <c:f>'risque à assurer'!$B$1</c:f>
              <c:strCache>
                <c:ptCount val="1"/>
                <c:pt idx="0">
                  <c:v>Oui</c:v>
                </c:pt>
              </c:strCache>
            </c:strRef>
          </c:tx>
          <c:spPr>
            <a:solidFill>
              <a:schemeClr val="accent1"/>
            </a:solidFill>
            <a:ln>
              <a:noFill/>
            </a:ln>
            <a:effectLst/>
          </c:spPr>
          <c:invertIfNegative val="0"/>
          <c:cat>
            <c:strRef>
              <c:f>'risque à assurer'!$A$2:$A$10</c:f>
              <c:strCache>
                <c:ptCount val="9"/>
                <c:pt idx="0">
                  <c:v>Insuffisance des pluies</c:v>
                </c:pt>
                <c:pt idx="1">
                  <c:v>le vol de bétail</c:v>
                </c:pt>
                <c:pt idx="2">
                  <c:v>les maladies du bétail</c:v>
                </c:pt>
                <c:pt idx="3">
                  <c:v>la mort naturel du bétail</c:v>
                </c:pt>
                <c:pt idx="4">
                  <c:v>les accidents du bétail</c:v>
                </c:pt>
                <c:pt idx="5">
                  <c:v>les intempéries</c:v>
                </c:pt>
                <c:pt idx="6">
                  <c:v>les inondations</c:v>
                </c:pt>
                <c:pt idx="7">
                  <c:v>Aucun risque</c:v>
                </c:pt>
                <c:pt idx="8">
                  <c:v>Autres</c:v>
                </c:pt>
              </c:strCache>
            </c:strRef>
          </c:cat>
          <c:val>
            <c:numRef>
              <c:f>'risque à assurer'!$B$2:$B$10</c:f>
              <c:numCache>
                <c:formatCode>General</c:formatCode>
                <c:ptCount val="9"/>
                <c:pt idx="0">
                  <c:v>240</c:v>
                </c:pt>
                <c:pt idx="1">
                  <c:v>170</c:v>
                </c:pt>
                <c:pt idx="2">
                  <c:v>143</c:v>
                </c:pt>
                <c:pt idx="3">
                  <c:v>126</c:v>
                </c:pt>
                <c:pt idx="4">
                  <c:v>92</c:v>
                </c:pt>
                <c:pt idx="5">
                  <c:v>16</c:v>
                </c:pt>
                <c:pt idx="6">
                  <c:v>9</c:v>
                </c:pt>
                <c:pt idx="7">
                  <c:v>3</c:v>
                </c:pt>
                <c:pt idx="8">
                  <c:v>0</c:v>
                </c:pt>
              </c:numCache>
            </c:numRef>
          </c:val>
          <c:extLst xmlns:c16r2="http://schemas.microsoft.com/office/drawing/2015/06/chart">
            <c:ext xmlns:c16="http://schemas.microsoft.com/office/drawing/2014/chart" uri="{C3380CC4-5D6E-409C-BE32-E72D297353CC}">
              <c16:uniqueId val="{00000000-D8A4-437D-A059-95771E660CBD}"/>
            </c:ext>
          </c:extLst>
        </c:ser>
        <c:ser>
          <c:idx val="1"/>
          <c:order val="1"/>
          <c:tx>
            <c:strRef>
              <c:f>'risque à assurer'!$C$1</c:f>
              <c:strCache>
                <c:ptCount val="1"/>
                <c:pt idx="0">
                  <c:v>Non </c:v>
                </c:pt>
              </c:strCache>
            </c:strRef>
          </c:tx>
          <c:spPr>
            <a:solidFill>
              <a:schemeClr val="accent2"/>
            </a:solidFill>
            <a:ln>
              <a:noFill/>
            </a:ln>
            <a:effectLst/>
          </c:spPr>
          <c:invertIfNegative val="0"/>
          <c:cat>
            <c:strRef>
              <c:f>'risque à assurer'!$A$2:$A$10</c:f>
              <c:strCache>
                <c:ptCount val="9"/>
                <c:pt idx="0">
                  <c:v>Insuffisance des pluies</c:v>
                </c:pt>
                <c:pt idx="1">
                  <c:v>le vol de bétail</c:v>
                </c:pt>
                <c:pt idx="2">
                  <c:v>les maladies du bétail</c:v>
                </c:pt>
                <c:pt idx="3">
                  <c:v>la mort naturel du bétail</c:v>
                </c:pt>
                <c:pt idx="4">
                  <c:v>les accidents du bétail</c:v>
                </c:pt>
                <c:pt idx="5">
                  <c:v>les intempéries</c:v>
                </c:pt>
                <c:pt idx="6">
                  <c:v>les inondations</c:v>
                </c:pt>
                <c:pt idx="7">
                  <c:v>Aucun risque</c:v>
                </c:pt>
                <c:pt idx="8">
                  <c:v>Autres</c:v>
                </c:pt>
              </c:strCache>
            </c:strRef>
          </c:cat>
          <c:val>
            <c:numRef>
              <c:f>'risque à assurer'!$C$2:$C$10</c:f>
              <c:numCache>
                <c:formatCode>General</c:formatCode>
                <c:ptCount val="9"/>
                <c:pt idx="0">
                  <c:v>60</c:v>
                </c:pt>
                <c:pt idx="1">
                  <c:v>130</c:v>
                </c:pt>
                <c:pt idx="2">
                  <c:v>157</c:v>
                </c:pt>
                <c:pt idx="3">
                  <c:v>174</c:v>
                </c:pt>
                <c:pt idx="4">
                  <c:v>208</c:v>
                </c:pt>
                <c:pt idx="5">
                  <c:v>284</c:v>
                </c:pt>
                <c:pt idx="6">
                  <c:v>291</c:v>
                </c:pt>
                <c:pt idx="7">
                  <c:v>297</c:v>
                </c:pt>
                <c:pt idx="8">
                  <c:v>300</c:v>
                </c:pt>
              </c:numCache>
            </c:numRef>
          </c:val>
          <c:extLst xmlns:c16r2="http://schemas.microsoft.com/office/drawing/2015/06/chart">
            <c:ext xmlns:c16="http://schemas.microsoft.com/office/drawing/2014/chart" uri="{C3380CC4-5D6E-409C-BE32-E72D297353CC}">
              <c16:uniqueId val="{00000001-D8A4-437D-A059-95771E660CBD}"/>
            </c:ext>
          </c:extLst>
        </c:ser>
        <c:dLbls>
          <c:showLegendKey val="0"/>
          <c:showVal val="0"/>
          <c:showCatName val="0"/>
          <c:showSerName val="0"/>
          <c:showPercent val="0"/>
          <c:showBubbleSize val="0"/>
        </c:dLbls>
        <c:gapWidth val="219"/>
        <c:overlap val="100"/>
        <c:axId val="329455656"/>
        <c:axId val="329456048"/>
      </c:barChart>
      <c:catAx>
        <c:axId val="329455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456048"/>
        <c:crosses val="autoZero"/>
        <c:auto val="1"/>
        <c:lblAlgn val="ctr"/>
        <c:lblOffset val="100"/>
        <c:noMultiLvlLbl val="0"/>
      </c:catAx>
      <c:valAx>
        <c:axId val="3294560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455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Risques</a:t>
            </a:r>
            <a:r>
              <a:rPr lang="fr-FR" baseline="0"/>
              <a:t> liés à la pluviométrie à assurer</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percentStacked"/>
        <c:varyColors val="0"/>
        <c:ser>
          <c:idx val="0"/>
          <c:order val="0"/>
          <c:tx>
            <c:strRef>
              <c:f>'risque à assurer'!$B$12</c:f>
              <c:strCache>
                <c:ptCount val="1"/>
                <c:pt idx="0">
                  <c:v>Oui</c:v>
                </c:pt>
              </c:strCache>
            </c:strRef>
          </c:tx>
          <c:spPr>
            <a:solidFill>
              <a:schemeClr val="accent1"/>
            </a:solidFill>
            <a:ln>
              <a:noFill/>
            </a:ln>
            <a:effectLst/>
          </c:spPr>
          <c:invertIfNegative val="0"/>
          <c:cat>
            <c:strRef>
              <c:f>'risque à assurer'!$A$13:$A$18</c:f>
              <c:strCache>
                <c:ptCount val="6"/>
                <c:pt idx="0">
                  <c:v>l’insuffisance des pluies</c:v>
                </c:pt>
                <c:pt idx="1">
                  <c:v>le retard des pluies</c:v>
                </c:pt>
                <c:pt idx="2">
                  <c:v>l’excès de pluies (inondations)</c:v>
                </c:pt>
                <c:pt idx="3">
                  <c:v>les intempéries</c:v>
                </c:pt>
                <c:pt idx="4">
                  <c:v>Aucun</c:v>
                </c:pt>
                <c:pt idx="5">
                  <c:v>Autres</c:v>
                </c:pt>
              </c:strCache>
            </c:strRef>
          </c:cat>
          <c:val>
            <c:numRef>
              <c:f>'risque à assurer'!$B$13:$B$18</c:f>
              <c:numCache>
                <c:formatCode>General</c:formatCode>
                <c:ptCount val="6"/>
                <c:pt idx="0">
                  <c:v>264</c:v>
                </c:pt>
                <c:pt idx="1">
                  <c:v>222</c:v>
                </c:pt>
                <c:pt idx="2">
                  <c:v>36</c:v>
                </c:pt>
                <c:pt idx="3">
                  <c:v>31</c:v>
                </c:pt>
                <c:pt idx="4">
                  <c:v>11</c:v>
                </c:pt>
                <c:pt idx="5">
                  <c:v>0</c:v>
                </c:pt>
              </c:numCache>
            </c:numRef>
          </c:val>
          <c:extLst xmlns:c16r2="http://schemas.microsoft.com/office/drawing/2015/06/chart">
            <c:ext xmlns:c16="http://schemas.microsoft.com/office/drawing/2014/chart" uri="{C3380CC4-5D6E-409C-BE32-E72D297353CC}">
              <c16:uniqueId val="{00000000-212D-43A0-AC6F-733D07825AEC}"/>
            </c:ext>
          </c:extLst>
        </c:ser>
        <c:ser>
          <c:idx val="1"/>
          <c:order val="1"/>
          <c:tx>
            <c:strRef>
              <c:f>'risque à assurer'!$C$12</c:f>
              <c:strCache>
                <c:ptCount val="1"/>
                <c:pt idx="0">
                  <c:v>Non</c:v>
                </c:pt>
              </c:strCache>
            </c:strRef>
          </c:tx>
          <c:spPr>
            <a:solidFill>
              <a:schemeClr val="accent2"/>
            </a:solidFill>
            <a:ln>
              <a:noFill/>
            </a:ln>
            <a:effectLst/>
          </c:spPr>
          <c:invertIfNegative val="0"/>
          <c:cat>
            <c:strRef>
              <c:f>'risque à assurer'!$A$13:$A$18</c:f>
              <c:strCache>
                <c:ptCount val="6"/>
                <c:pt idx="0">
                  <c:v>l’insuffisance des pluies</c:v>
                </c:pt>
                <c:pt idx="1">
                  <c:v>le retard des pluies</c:v>
                </c:pt>
                <c:pt idx="2">
                  <c:v>l’excès de pluies (inondations)</c:v>
                </c:pt>
                <c:pt idx="3">
                  <c:v>les intempéries</c:v>
                </c:pt>
                <c:pt idx="4">
                  <c:v>Aucun</c:v>
                </c:pt>
                <c:pt idx="5">
                  <c:v>Autres</c:v>
                </c:pt>
              </c:strCache>
            </c:strRef>
          </c:cat>
          <c:val>
            <c:numRef>
              <c:f>'risque à assurer'!$C$13:$C$18</c:f>
              <c:numCache>
                <c:formatCode>General</c:formatCode>
                <c:ptCount val="6"/>
                <c:pt idx="0">
                  <c:v>36</c:v>
                </c:pt>
                <c:pt idx="1">
                  <c:v>78</c:v>
                </c:pt>
                <c:pt idx="2">
                  <c:v>264</c:v>
                </c:pt>
                <c:pt idx="3">
                  <c:v>269</c:v>
                </c:pt>
                <c:pt idx="4">
                  <c:v>289</c:v>
                </c:pt>
                <c:pt idx="5">
                  <c:v>300</c:v>
                </c:pt>
              </c:numCache>
            </c:numRef>
          </c:val>
          <c:extLst xmlns:c16r2="http://schemas.microsoft.com/office/drawing/2015/06/chart">
            <c:ext xmlns:c16="http://schemas.microsoft.com/office/drawing/2014/chart" uri="{C3380CC4-5D6E-409C-BE32-E72D297353CC}">
              <c16:uniqueId val="{00000001-212D-43A0-AC6F-733D07825AEC}"/>
            </c:ext>
          </c:extLst>
        </c:ser>
        <c:dLbls>
          <c:showLegendKey val="0"/>
          <c:showVal val="0"/>
          <c:showCatName val="0"/>
          <c:showSerName val="0"/>
          <c:showPercent val="0"/>
          <c:showBubbleSize val="0"/>
        </c:dLbls>
        <c:gapWidth val="219"/>
        <c:overlap val="100"/>
        <c:axId val="329456440"/>
        <c:axId val="329456832"/>
      </c:barChart>
      <c:catAx>
        <c:axId val="329456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456832"/>
        <c:crosses val="autoZero"/>
        <c:auto val="1"/>
        <c:lblAlgn val="ctr"/>
        <c:lblOffset val="100"/>
        <c:noMultiLvlLbl val="0"/>
      </c:catAx>
      <c:valAx>
        <c:axId val="3294568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456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Consentement à payer pour</a:t>
            </a:r>
            <a:r>
              <a:rPr lang="fr-FR" baseline="0"/>
              <a:t> assurer une tête de bovin (en % d'éleveurs)</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'wtp bovins2'!$A$14</c:f>
              <c:strCache>
                <c:ptCount val="1"/>
                <c:pt idx="0">
                  <c:v>rien</c:v>
                </c:pt>
              </c:strCache>
            </c:strRef>
          </c:tx>
          <c:spPr>
            <a:solidFill>
              <a:schemeClr val="accent1"/>
            </a:solidFill>
            <a:ln>
              <a:noFill/>
            </a:ln>
            <a:effectLst/>
          </c:spPr>
          <c:invertIfNegative val="0"/>
          <c:cat>
            <c:strRef>
              <c:f>'wtp bovins2'!$B$13:$F$13</c:f>
              <c:strCache>
                <c:ptCount val="5"/>
                <c:pt idx="0">
                  <c:v>retard des pluies</c:v>
                </c:pt>
                <c:pt idx="1">
                  <c:v>pluies insuffisantes</c:v>
                </c:pt>
                <c:pt idx="2">
                  <c:v>intempéries</c:v>
                </c:pt>
                <c:pt idx="3">
                  <c:v>vol du bétail</c:v>
                </c:pt>
                <c:pt idx="4">
                  <c:v>mort naturelle</c:v>
                </c:pt>
              </c:strCache>
            </c:strRef>
          </c:cat>
          <c:val>
            <c:numRef>
              <c:f>'wtp bovins2'!$B$14:$F$14</c:f>
              <c:numCache>
                <c:formatCode>0</c:formatCode>
                <c:ptCount val="5"/>
                <c:pt idx="0">
                  <c:v>18.989999999999998</c:v>
                </c:pt>
                <c:pt idx="1">
                  <c:v>18.440000000000001</c:v>
                </c:pt>
                <c:pt idx="2">
                  <c:v>19.55</c:v>
                </c:pt>
                <c:pt idx="3">
                  <c:v>20.67</c:v>
                </c:pt>
                <c:pt idx="4">
                  <c:v>21.23</c:v>
                </c:pt>
              </c:numCache>
            </c:numRef>
          </c:val>
          <c:extLst xmlns:c16r2="http://schemas.microsoft.com/office/drawing/2015/06/chart">
            <c:ext xmlns:c16="http://schemas.microsoft.com/office/drawing/2014/chart" uri="{C3380CC4-5D6E-409C-BE32-E72D297353CC}">
              <c16:uniqueId val="{00000000-047B-43D5-9B26-4394466246DD}"/>
            </c:ext>
          </c:extLst>
        </c:ser>
        <c:ser>
          <c:idx val="1"/>
          <c:order val="1"/>
          <c:tx>
            <c:strRef>
              <c:f>'wtp bovins2'!$A$15</c:f>
              <c:strCache>
                <c:ptCount val="1"/>
                <c:pt idx="0">
                  <c:v>500</c:v>
                </c:pt>
              </c:strCache>
            </c:strRef>
          </c:tx>
          <c:spPr>
            <a:solidFill>
              <a:schemeClr val="accent2"/>
            </a:solidFill>
            <a:ln>
              <a:noFill/>
            </a:ln>
            <a:effectLst/>
          </c:spPr>
          <c:invertIfNegative val="0"/>
          <c:cat>
            <c:strRef>
              <c:f>'wtp bovins2'!$B$13:$F$13</c:f>
              <c:strCache>
                <c:ptCount val="5"/>
                <c:pt idx="0">
                  <c:v>retard des pluies</c:v>
                </c:pt>
                <c:pt idx="1">
                  <c:v>pluies insuffisantes</c:v>
                </c:pt>
                <c:pt idx="2">
                  <c:v>intempéries</c:v>
                </c:pt>
                <c:pt idx="3">
                  <c:v>vol du bétail</c:v>
                </c:pt>
                <c:pt idx="4">
                  <c:v>mort naturelle</c:v>
                </c:pt>
              </c:strCache>
            </c:strRef>
          </c:cat>
          <c:val>
            <c:numRef>
              <c:f>'wtp bovins2'!$B$15:$F$15</c:f>
              <c:numCache>
                <c:formatCode>0</c:formatCode>
                <c:ptCount val="5"/>
                <c:pt idx="0">
                  <c:v>25.7</c:v>
                </c:pt>
                <c:pt idx="1">
                  <c:v>24.58</c:v>
                </c:pt>
                <c:pt idx="2">
                  <c:v>29.05</c:v>
                </c:pt>
                <c:pt idx="3">
                  <c:v>23.46</c:v>
                </c:pt>
                <c:pt idx="4">
                  <c:v>29.05</c:v>
                </c:pt>
              </c:numCache>
            </c:numRef>
          </c:val>
          <c:extLst xmlns:c16r2="http://schemas.microsoft.com/office/drawing/2015/06/chart">
            <c:ext xmlns:c16="http://schemas.microsoft.com/office/drawing/2014/chart" uri="{C3380CC4-5D6E-409C-BE32-E72D297353CC}">
              <c16:uniqueId val="{00000001-047B-43D5-9B26-4394466246DD}"/>
            </c:ext>
          </c:extLst>
        </c:ser>
        <c:ser>
          <c:idx val="2"/>
          <c:order val="2"/>
          <c:tx>
            <c:strRef>
              <c:f>'wtp bovins2'!$A$16</c:f>
              <c:strCache>
                <c:ptCount val="1"/>
                <c:pt idx="0">
                  <c:v>1000</c:v>
                </c:pt>
              </c:strCache>
            </c:strRef>
          </c:tx>
          <c:spPr>
            <a:solidFill>
              <a:schemeClr val="accent3"/>
            </a:solidFill>
            <a:ln>
              <a:noFill/>
            </a:ln>
            <a:effectLst/>
          </c:spPr>
          <c:invertIfNegative val="0"/>
          <c:cat>
            <c:strRef>
              <c:f>'wtp bovins2'!$B$13:$F$13</c:f>
              <c:strCache>
                <c:ptCount val="5"/>
                <c:pt idx="0">
                  <c:v>retard des pluies</c:v>
                </c:pt>
                <c:pt idx="1">
                  <c:v>pluies insuffisantes</c:v>
                </c:pt>
                <c:pt idx="2">
                  <c:v>intempéries</c:v>
                </c:pt>
                <c:pt idx="3">
                  <c:v>vol du bétail</c:v>
                </c:pt>
                <c:pt idx="4">
                  <c:v>mort naturelle</c:v>
                </c:pt>
              </c:strCache>
            </c:strRef>
          </c:cat>
          <c:val>
            <c:numRef>
              <c:f>'wtp bovins2'!$B$16:$F$16</c:f>
              <c:numCache>
                <c:formatCode>0</c:formatCode>
                <c:ptCount val="5"/>
                <c:pt idx="0">
                  <c:v>22.35</c:v>
                </c:pt>
                <c:pt idx="1">
                  <c:v>22.91</c:v>
                </c:pt>
                <c:pt idx="2">
                  <c:v>21.23</c:v>
                </c:pt>
                <c:pt idx="3">
                  <c:v>22.91</c:v>
                </c:pt>
                <c:pt idx="4">
                  <c:v>21.79</c:v>
                </c:pt>
              </c:numCache>
            </c:numRef>
          </c:val>
          <c:extLst xmlns:c16r2="http://schemas.microsoft.com/office/drawing/2015/06/chart">
            <c:ext xmlns:c16="http://schemas.microsoft.com/office/drawing/2014/chart" uri="{C3380CC4-5D6E-409C-BE32-E72D297353CC}">
              <c16:uniqueId val="{00000002-047B-43D5-9B26-4394466246DD}"/>
            </c:ext>
          </c:extLst>
        </c:ser>
        <c:ser>
          <c:idx val="3"/>
          <c:order val="3"/>
          <c:tx>
            <c:strRef>
              <c:f>'wtp bovins2'!$A$17</c:f>
              <c:strCache>
                <c:ptCount val="1"/>
                <c:pt idx="0">
                  <c:v>3000</c:v>
                </c:pt>
              </c:strCache>
            </c:strRef>
          </c:tx>
          <c:spPr>
            <a:solidFill>
              <a:schemeClr val="accent4"/>
            </a:solidFill>
            <a:ln>
              <a:noFill/>
            </a:ln>
            <a:effectLst/>
          </c:spPr>
          <c:invertIfNegative val="0"/>
          <c:cat>
            <c:strRef>
              <c:f>'wtp bovins2'!$B$13:$F$13</c:f>
              <c:strCache>
                <c:ptCount val="5"/>
                <c:pt idx="0">
                  <c:v>retard des pluies</c:v>
                </c:pt>
                <c:pt idx="1">
                  <c:v>pluies insuffisantes</c:v>
                </c:pt>
                <c:pt idx="2">
                  <c:v>intempéries</c:v>
                </c:pt>
                <c:pt idx="3">
                  <c:v>vol du bétail</c:v>
                </c:pt>
                <c:pt idx="4">
                  <c:v>mort naturelle</c:v>
                </c:pt>
              </c:strCache>
            </c:strRef>
          </c:cat>
          <c:val>
            <c:numRef>
              <c:f>'wtp bovins2'!$B$17:$F$17</c:f>
              <c:numCache>
                <c:formatCode>0</c:formatCode>
                <c:ptCount val="5"/>
                <c:pt idx="0">
                  <c:v>22.35</c:v>
                </c:pt>
                <c:pt idx="1">
                  <c:v>22.35</c:v>
                </c:pt>
                <c:pt idx="2">
                  <c:v>17.88</c:v>
                </c:pt>
                <c:pt idx="3">
                  <c:v>20.11</c:v>
                </c:pt>
                <c:pt idx="4">
                  <c:v>18.440000000000001</c:v>
                </c:pt>
              </c:numCache>
            </c:numRef>
          </c:val>
          <c:extLst xmlns:c16r2="http://schemas.microsoft.com/office/drawing/2015/06/chart">
            <c:ext xmlns:c16="http://schemas.microsoft.com/office/drawing/2014/chart" uri="{C3380CC4-5D6E-409C-BE32-E72D297353CC}">
              <c16:uniqueId val="{00000003-047B-43D5-9B26-4394466246DD}"/>
            </c:ext>
          </c:extLst>
        </c:ser>
        <c:ser>
          <c:idx val="4"/>
          <c:order val="4"/>
          <c:tx>
            <c:strRef>
              <c:f>'wtp bovins2'!$A$18</c:f>
              <c:strCache>
                <c:ptCount val="1"/>
                <c:pt idx="0">
                  <c:v>5000</c:v>
                </c:pt>
              </c:strCache>
            </c:strRef>
          </c:tx>
          <c:spPr>
            <a:solidFill>
              <a:schemeClr val="accent5"/>
            </a:solidFill>
            <a:ln>
              <a:noFill/>
            </a:ln>
            <a:effectLst/>
          </c:spPr>
          <c:invertIfNegative val="0"/>
          <c:cat>
            <c:strRef>
              <c:f>'wtp bovins2'!$B$13:$F$13</c:f>
              <c:strCache>
                <c:ptCount val="5"/>
                <c:pt idx="0">
                  <c:v>retard des pluies</c:v>
                </c:pt>
                <c:pt idx="1">
                  <c:v>pluies insuffisantes</c:v>
                </c:pt>
                <c:pt idx="2">
                  <c:v>intempéries</c:v>
                </c:pt>
                <c:pt idx="3">
                  <c:v>vol du bétail</c:v>
                </c:pt>
                <c:pt idx="4">
                  <c:v>mort naturelle</c:v>
                </c:pt>
              </c:strCache>
            </c:strRef>
          </c:cat>
          <c:val>
            <c:numRef>
              <c:f>'wtp bovins2'!$B$18:$F$18</c:f>
              <c:numCache>
                <c:formatCode>0</c:formatCode>
                <c:ptCount val="5"/>
                <c:pt idx="0">
                  <c:v>5.59</c:v>
                </c:pt>
                <c:pt idx="1">
                  <c:v>7.82</c:v>
                </c:pt>
                <c:pt idx="2">
                  <c:v>7.82</c:v>
                </c:pt>
                <c:pt idx="3">
                  <c:v>5.59</c:v>
                </c:pt>
                <c:pt idx="4">
                  <c:v>5.59</c:v>
                </c:pt>
              </c:numCache>
            </c:numRef>
          </c:val>
          <c:extLst xmlns:c16r2="http://schemas.microsoft.com/office/drawing/2015/06/chart">
            <c:ext xmlns:c16="http://schemas.microsoft.com/office/drawing/2014/chart" uri="{C3380CC4-5D6E-409C-BE32-E72D297353CC}">
              <c16:uniqueId val="{00000004-047B-43D5-9B26-4394466246DD}"/>
            </c:ext>
          </c:extLst>
        </c:ser>
        <c:ser>
          <c:idx val="5"/>
          <c:order val="5"/>
          <c:tx>
            <c:strRef>
              <c:f>'wtp bovins2'!$A$19</c:f>
              <c:strCache>
                <c:ptCount val="1"/>
                <c:pt idx="0">
                  <c:v>7500</c:v>
                </c:pt>
              </c:strCache>
            </c:strRef>
          </c:tx>
          <c:spPr>
            <a:solidFill>
              <a:schemeClr val="accent6"/>
            </a:solidFill>
            <a:ln>
              <a:noFill/>
            </a:ln>
            <a:effectLst/>
          </c:spPr>
          <c:invertIfNegative val="0"/>
          <c:cat>
            <c:strRef>
              <c:f>'wtp bovins2'!$B$13:$F$13</c:f>
              <c:strCache>
                <c:ptCount val="5"/>
                <c:pt idx="0">
                  <c:v>retard des pluies</c:v>
                </c:pt>
                <c:pt idx="1">
                  <c:v>pluies insuffisantes</c:v>
                </c:pt>
                <c:pt idx="2">
                  <c:v>intempéries</c:v>
                </c:pt>
                <c:pt idx="3">
                  <c:v>vol du bétail</c:v>
                </c:pt>
                <c:pt idx="4">
                  <c:v>mort naturelle</c:v>
                </c:pt>
              </c:strCache>
            </c:strRef>
          </c:cat>
          <c:val>
            <c:numRef>
              <c:f>'wtp bovins2'!$B$19:$F$19</c:f>
              <c:numCache>
                <c:formatCode>0</c:formatCode>
                <c:ptCount val="5"/>
                <c:pt idx="0">
                  <c:v>1.1200000000000001</c:v>
                </c:pt>
                <c:pt idx="1">
                  <c:v>0.56000000000000005</c:v>
                </c:pt>
                <c:pt idx="2">
                  <c:v>0.56000000000000005</c:v>
                </c:pt>
                <c:pt idx="3">
                  <c:v>2.23</c:v>
                </c:pt>
                <c:pt idx="4">
                  <c:v>1.1200000000000001</c:v>
                </c:pt>
              </c:numCache>
            </c:numRef>
          </c:val>
          <c:extLst xmlns:c16r2="http://schemas.microsoft.com/office/drawing/2015/06/chart">
            <c:ext xmlns:c16="http://schemas.microsoft.com/office/drawing/2014/chart" uri="{C3380CC4-5D6E-409C-BE32-E72D297353CC}">
              <c16:uniqueId val="{00000005-047B-43D5-9B26-4394466246DD}"/>
            </c:ext>
          </c:extLst>
        </c:ser>
        <c:ser>
          <c:idx val="6"/>
          <c:order val="6"/>
          <c:tx>
            <c:strRef>
              <c:f>'wtp bovins2'!$A$20</c:f>
              <c:strCache>
                <c:ptCount val="1"/>
                <c:pt idx="0">
                  <c:v>10000</c:v>
                </c:pt>
              </c:strCache>
            </c:strRef>
          </c:tx>
          <c:spPr>
            <a:solidFill>
              <a:schemeClr val="accent1">
                <a:lumMod val="60000"/>
              </a:schemeClr>
            </a:solidFill>
            <a:ln>
              <a:noFill/>
            </a:ln>
            <a:effectLst/>
          </c:spPr>
          <c:invertIfNegative val="0"/>
          <c:cat>
            <c:strRef>
              <c:f>'wtp bovins2'!$B$13:$F$13</c:f>
              <c:strCache>
                <c:ptCount val="5"/>
                <c:pt idx="0">
                  <c:v>retard des pluies</c:v>
                </c:pt>
                <c:pt idx="1">
                  <c:v>pluies insuffisantes</c:v>
                </c:pt>
                <c:pt idx="2">
                  <c:v>intempéries</c:v>
                </c:pt>
                <c:pt idx="3">
                  <c:v>vol du bétail</c:v>
                </c:pt>
                <c:pt idx="4">
                  <c:v>mort naturelle</c:v>
                </c:pt>
              </c:strCache>
            </c:strRef>
          </c:cat>
          <c:val>
            <c:numRef>
              <c:f>'wtp bovins2'!$B$20:$F$20</c:f>
              <c:numCache>
                <c:formatCode>0</c:formatCode>
                <c:ptCount val="5"/>
                <c:pt idx="0">
                  <c:v>1.1200000000000001</c:v>
                </c:pt>
                <c:pt idx="1">
                  <c:v>1.1200000000000001</c:v>
                </c:pt>
                <c:pt idx="2">
                  <c:v>1.68</c:v>
                </c:pt>
                <c:pt idx="3">
                  <c:v>2.23</c:v>
                </c:pt>
                <c:pt idx="4">
                  <c:v>2.23</c:v>
                </c:pt>
              </c:numCache>
            </c:numRef>
          </c:val>
          <c:extLst xmlns:c16r2="http://schemas.microsoft.com/office/drawing/2015/06/chart">
            <c:ext xmlns:c16="http://schemas.microsoft.com/office/drawing/2014/chart" uri="{C3380CC4-5D6E-409C-BE32-E72D297353CC}">
              <c16:uniqueId val="{00000006-047B-43D5-9B26-4394466246DD}"/>
            </c:ext>
          </c:extLst>
        </c:ser>
        <c:ser>
          <c:idx val="7"/>
          <c:order val="7"/>
          <c:tx>
            <c:strRef>
              <c:f>'wtp bovins2'!$A$21</c:f>
              <c:strCache>
                <c:ptCount val="1"/>
                <c:pt idx="0">
                  <c:v>plus de 10000</c:v>
                </c:pt>
              </c:strCache>
            </c:strRef>
          </c:tx>
          <c:spPr>
            <a:solidFill>
              <a:schemeClr val="accent2">
                <a:lumMod val="60000"/>
              </a:schemeClr>
            </a:solidFill>
            <a:ln>
              <a:noFill/>
            </a:ln>
            <a:effectLst/>
          </c:spPr>
          <c:invertIfNegative val="0"/>
          <c:cat>
            <c:strRef>
              <c:f>'wtp bovins2'!$B$13:$F$13</c:f>
              <c:strCache>
                <c:ptCount val="5"/>
                <c:pt idx="0">
                  <c:v>retard des pluies</c:v>
                </c:pt>
                <c:pt idx="1">
                  <c:v>pluies insuffisantes</c:v>
                </c:pt>
                <c:pt idx="2">
                  <c:v>intempéries</c:v>
                </c:pt>
                <c:pt idx="3">
                  <c:v>vol du bétail</c:v>
                </c:pt>
                <c:pt idx="4">
                  <c:v>mort naturelle</c:v>
                </c:pt>
              </c:strCache>
            </c:strRef>
          </c:cat>
          <c:val>
            <c:numRef>
              <c:f>'wtp bovins2'!$B$21:$F$21</c:f>
              <c:numCache>
                <c:formatCode>0</c:formatCode>
                <c:ptCount val="5"/>
                <c:pt idx="0">
                  <c:v>2.79</c:v>
                </c:pt>
                <c:pt idx="1">
                  <c:v>2.23</c:v>
                </c:pt>
                <c:pt idx="2">
                  <c:v>2.23</c:v>
                </c:pt>
                <c:pt idx="3">
                  <c:v>2.79</c:v>
                </c:pt>
                <c:pt idx="4">
                  <c:v>0.56000000000000005</c:v>
                </c:pt>
              </c:numCache>
            </c:numRef>
          </c:val>
          <c:extLst xmlns:c16r2="http://schemas.microsoft.com/office/drawing/2015/06/chart">
            <c:ext xmlns:c16="http://schemas.microsoft.com/office/drawing/2014/chart" uri="{C3380CC4-5D6E-409C-BE32-E72D297353CC}">
              <c16:uniqueId val="{00000007-047B-43D5-9B26-4394466246DD}"/>
            </c:ext>
          </c:extLst>
        </c:ser>
        <c:dLbls>
          <c:showLegendKey val="0"/>
          <c:showVal val="0"/>
          <c:showCatName val="0"/>
          <c:showSerName val="0"/>
          <c:showPercent val="0"/>
          <c:showBubbleSize val="0"/>
        </c:dLbls>
        <c:gapWidth val="219"/>
        <c:overlap val="-27"/>
        <c:axId val="329457616"/>
        <c:axId val="329458008"/>
      </c:barChart>
      <c:catAx>
        <c:axId val="329457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458008"/>
        <c:crosses val="autoZero"/>
        <c:auto val="1"/>
        <c:lblAlgn val="ctr"/>
        <c:lblOffset val="100"/>
        <c:noMultiLvlLbl val="0"/>
      </c:catAx>
      <c:valAx>
        <c:axId val="3294580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457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Consentement</a:t>
            </a:r>
            <a:r>
              <a:rPr lang="fr-FR" baseline="0"/>
              <a:t> à payer pour assurer les 5 têtes de bovin les plus importants (en % d'éleveurs)</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'wtp bovins2'!$A$24</c:f>
              <c:strCache>
                <c:ptCount val="1"/>
                <c:pt idx="0">
                  <c:v>rien</c:v>
                </c:pt>
              </c:strCache>
            </c:strRef>
          </c:tx>
          <c:spPr>
            <a:solidFill>
              <a:schemeClr val="accent1"/>
            </a:solidFill>
            <a:ln>
              <a:noFill/>
            </a:ln>
            <a:effectLst/>
          </c:spPr>
          <c:invertIfNegative val="0"/>
          <c:cat>
            <c:strRef>
              <c:f>'wtp bovins2'!$B$23:$F$23</c:f>
              <c:strCache>
                <c:ptCount val="5"/>
                <c:pt idx="0">
                  <c:v>retard des pluies</c:v>
                </c:pt>
                <c:pt idx="1">
                  <c:v>pluies insuffisantes</c:v>
                </c:pt>
                <c:pt idx="2">
                  <c:v>intempéries</c:v>
                </c:pt>
                <c:pt idx="3">
                  <c:v>vol du bétail</c:v>
                </c:pt>
                <c:pt idx="4">
                  <c:v>mort naturelle</c:v>
                </c:pt>
              </c:strCache>
            </c:strRef>
          </c:cat>
          <c:val>
            <c:numRef>
              <c:f>'wtp bovins2'!$B$24:$F$24</c:f>
              <c:numCache>
                <c:formatCode>0</c:formatCode>
                <c:ptCount val="5"/>
                <c:pt idx="0">
                  <c:v>10.06</c:v>
                </c:pt>
                <c:pt idx="1">
                  <c:v>11.17</c:v>
                </c:pt>
                <c:pt idx="2">
                  <c:v>12.29</c:v>
                </c:pt>
                <c:pt idx="3">
                  <c:v>12.85</c:v>
                </c:pt>
                <c:pt idx="4">
                  <c:v>14.53</c:v>
                </c:pt>
              </c:numCache>
            </c:numRef>
          </c:val>
          <c:extLst xmlns:c16r2="http://schemas.microsoft.com/office/drawing/2015/06/chart">
            <c:ext xmlns:c16="http://schemas.microsoft.com/office/drawing/2014/chart" uri="{C3380CC4-5D6E-409C-BE32-E72D297353CC}">
              <c16:uniqueId val="{00000000-37C8-4B9F-A223-6E555A748AE3}"/>
            </c:ext>
          </c:extLst>
        </c:ser>
        <c:ser>
          <c:idx val="1"/>
          <c:order val="1"/>
          <c:tx>
            <c:strRef>
              <c:f>'wtp bovins2'!$A$25</c:f>
              <c:strCache>
                <c:ptCount val="1"/>
                <c:pt idx="0">
                  <c:v>500</c:v>
                </c:pt>
              </c:strCache>
            </c:strRef>
          </c:tx>
          <c:spPr>
            <a:solidFill>
              <a:schemeClr val="accent2"/>
            </a:solidFill>
            <a:ln>
              <a:noFill/>
            </a:ln>
            <a:effectLst/>
          </c:spPr>
          <c:invertIfNegative val="0"/>
          <c:cat>
            <c:strRef>
              <c:f>'wtp bovins2'!$B$23:$F$23</c:f>
              <c:strCache>
                <c:ptCount val="5"/>
                <c:pt idx="0">
                  <c:v>retard des pluies</c:v>
                </c:pt>
                <c:pt idx="1">
                  <c:v>pluies insuffisantes</c:v>
                </c:pt>
                <c:pt idx="2">
                  <c:v>intempéries</c:v>
                </c:pt>
                <c:pt idx="3">
                  <c:v>vol du bétail</c:v>
                </c:pt>
                <c:pt idx="4">
                  <c:v>mort naturelle</c:v>
                </c:pt>
              </c:strCache>
            </c:strRef>
          </c:cat>
          <c:val>
            <c:numRef>
              <c:f>'wtp bovins2'!$B$25:$F$25</c:f>
              <c:numCache>
                <c:formatCode>0</c:formatCode>
                <c:ptCount val="5"/>
                <c:pt idx="0">
                  <c:v>9.5</c:v>
                </c:pt>
                <c:pt idx="1">
                  <c:v>10.61</c:v>
                </c:pt>
                <c:pt idx="2">
                  <c:v>12.29</c:v>
                </c:pt>
                <c:pt idx="3">
                  <c:v>10.06</c:v>
                </c:pt>
                <c:pt idx="4">
                  <c:v>12.29</c:v>
                </c:pt>
              </c:numCache>
            </c:numRef>
          </c:val>
          <c:extLst xmlns:c16r2="http://schemas.microsoft.com/office/drawing/2015/06/chart">
            <c:ext xmlns:c16="http://schemas.microsoft.com/office/drawing/2014/chart" uri="{C3380CC4-5D6E-409C-BE32-E72D297353CC}">
              <c16:uniqueId val="{00000001-37C8-4B9F-A223-6E555A748AE3}"/>
            </c:ext>
          </c:extLst>
        </c:ser>
        <c:ser>
          <c:idx val="2"/>
          <c:order val="2"/>
          <c:tx>
            <c:strRef>
              <c:f>'wtp bovins2'!$A$26</c:f>
              <c:strCache>
                <c:ptCount val="1"/>
                <c:pt idx="0">
                  <c:v>1000</c:v>
                </c:pt>
              </c:strCache>
            </c:strRef>
          </c:tx>
          <c:spPr>
            <a:solidFill>
              <a:schemeClr val="accent3"/>
            </a:solidFill>
            <a:ln>
              <a:noFill/>
            </a:ln>
            <a:effectLst/>
          </c:spPr>
          <c:invertIfNegative val="0"/>
          <c:cat>
            <c:strRef>
              <c:f>'wtp bovins2'!$B$23:$F$23</c:f>
              <c:strCache>
                <c:ptCount val="5"/>
                <c:pt idx="0">
                  <c:v>retard des pluies</c:v>
                </c:pt>
                <c:pt idx="1">
                  <c:v>pluies insuffisantes</c:v>
                </c:pt>
                <c:pt idx="2">
                  <c:v>intempéries</c:v>
                </c:pt>
                <c:pt idx="3">
                  <c:v>vol du bétail</c:v>
                </c:pt>
                <c:pt idx="4">
                  <c:v>mort naturelle</c:v>
                </c:pt>
              </c:strCache>
            </c:strRef>
          </c:cat>
          <c:val>
            <c:numRef>
              <c:f>'wtp bovins2'!$B$26:$F$26</c:f>
              <c:numCache>
                <c:formatCode>0</c:formatCode>
                <c:ptCount val="5"/>
                <c:pt idx="0">
                  <c:v>15.08</c:v>
                </c:pt>
                <c:pt idx="1">
                  <c:v>13.41</c:v>
                </c:pt>
                <c:pt idx="2">
                  <c:v>16.2</c:v>
                </c:pt>
                <c:pt idx="3">
                  <c:v>14.53</c:v>
                </c:pt>
                <c:pt idx="4">
                  <c:v>15.08</c:v>
                </c:pt>
              </c:numCache>
            </c:numRef>
          </c:val>
          <c:extLst xmlns:c16r2="http://schemas.microsoft.com/office/drawing/2015/06/chart">
            <c:ext xmlns:c16="http://schemas.microsoft.com/office/drawing/2014/chart" uri="{C3380CC4-5D6E-409C-BE32-E72D297353CC}">
              <c16:uniqueId val="{00000002-37C8-4B9F-A223-6E555A748AE3}"/>
            </c:ext>
          </c:extLst>
        </c:ser>
        <c:ser>
          <c:idx val="3"/>
          <c:order val="3"/>
          <c:tx>
            <c:strRef>
              <c:f>'wtp bovins2'!$A$27</c:f>
              <c:strCache>
                <c:ptCount val="1"/>
                <c:pt idx="0">
                  <c:v>3000</c:v>
                </c:pt>
              </c:strCache>
            </c:strRef>
          </c:tx>
          <c:spPr>
            <a:solidFill>
              <a:schemeClr val="accent4"/>
            </a:solidFill>
            <a:ln>
              <a:noFill/>
            </a:ln>
            <a:effectLst/>
          </c:spPr>
          <c:invertIfNegative val="0"/>
          <c:cat>
            <c:strRef>
              <c:f>'wtp bovins2'!$B$23:$F$23</c:f>
              <c:strCache>
                <c:ptCount val="5"/>
                <c:pt idx="0">
                  <c:v>retard des pluies</c:v>
                </c:pt>
                <c:pt idx="1">
                  <c:v>pluies insuffisantes</c:v>
                </c:pt>
                <c:pt idx="2">
                  <c:v>intempéries</c:v>
                </c:pt>
                <c:pt idx="3">
                  <c:v>vol du bétail</c:v>
                </c:pt>
                <c:pt idx="4">
                  <c:v>mort naturelle</c:v>
                </c:pt>
              </c:strCache>
            </c:strRef>
          </c:cat>
          <c:val>
            <c:numRef>
              <c:f>'wtp bovins2'!$B$27:$F$27</c:f>
              <c:numCache>
                <c:formatCode>0</c:formatCode>
                <c:ptCount val="5"/>
                <c:pt idx="0">
                  <c:v>24.58</c:v>
                </c:pt>
                <c:pt idx="1">
                  <c:v>21.79</c:v>
                </c:pt>
                <c:pt idx="2">
                  <c:v>26.26</c:v>
                </c:pt>
                <c:pt idx="3">
                  <c:v>25.14</c:v>
                </c:pt>
                <c:pt idx="4">
                  <c:v>24.02</c:v>
                </c:pt>
              </c:numCache>
            </c:numRef>
          </c:val>
          <c:extLst xmlns:c16r2="http://schemas.microsoft.com/office/drawing/2015/06/chart">
            <c:ext xmlns:c16="http://schemas.microsoft.com/office/drawing/2014/chart" uri="{C3380CC4-5D6E-409C-BE32-E72D297353CC}">
              <c16:uniqueId val="{00000003-37C8-4B9F-A223-6E555A748AE3}"/>
            </c:ext>
          </c:extLst>
        </c:ser>
        <c:ser>
          <c:idx val="4"/>
          <c:order val="4"/>
          <c:tx>
            <c:strRef>
              <c:f>'wtp bovins2'!$A$28</c:f>
              <c:strCache>
                <c:ptCount val="1"/>
                <c:pt idx="0">
                  <c:v>5000</c:v>
                </c:pt>
              </c:strCache>
            </c:strRef>
          </c:tx>
          <c:spPr>
            <a:solidFill>
              <a:schemeClr val="accent5"/>
            </a:solidFill>
            <a:ln>
              <a:noFill/>
            </a:ln>
            <a:effectLst/>
          </c:spPr>
          <c:invertIfNegative val="0"/>
          <c:cat>
            <c:strRef>
              <c:f>'wtp bovins2'!$B$23:$F$23</c:f>
              <c:strCache>
                <c:ptCount val="5"/>
                <c:pt idx="0">
                  <c:v>retard des pluies</c:v>
                </c:pt>
                <c:pt idx="1">
                  <c:v>pluies insuffisantes</c:v>
                </c:pt>
                <c:pt idx="2">
                  <c:v>intempéries</c:v>
                </c:pt>
                <c:pt idx="3">
                  <c:v>vol du bétail</c:v>
                </c:pt>
                <c:pt idx="4">
                  <c:v>mort naturelle</c:v>
                </c:pt>
              </c:strCache>
            </c:strRef>
          </c:cat>
          <c:val>
            <c:numRef>
              <c:f>'wtp bovins2'!$B$28:$F$28</c:f>
              <c:numCache>
                <c:formatCode>0</c:formatCode>
                <c:ptCount val="5"/>
                <c:pt idx="0">
                  <c:v>8.94</c:v>
                </c:pt>
                <c:pt idx="1">
                  <c:v>12.85</c:v>
                </c:pt>
                <c:pt idx="2">
                  <c:v>7.26</c:v>
                </c:pt>
                <c:pt idx="3">
                  <c:v>7.82</c:v>
                </c:pt>
                <c:pt idx="4">
                  <c:v>9.5</c:v>
                </c:pt>
              </c:numCache>
            </c:numRef>
          </c:val>
          <c:extLst xmlns:c16r2="http://schemas.microsoft.com/office/drawing/2015/06/chart">
            <c:ext xmlns:c16="http://schemas.microsoft.com/office/drawing/2014/chart" uri="{C3380CC4-5D6E-409C-BE32-E72D297353CC}">
              <c16:uniqueId val="{00000004-37C8-4B9F-A223-6E555A748AE3}"/>
            </c:ext>
          </c:extLst>
        </c:ser>
        <c:ser>
          <c:idx val="5"/>
          <c:order val="5"/>
          <c:tx>
            <c:strRef>
              <c:f>'wtp bovins2'!$A$29</c:f>
              <c:strCache>
                <c:ptCount val="1"/>
                <c:pt idx="0">
                  <c:v>7500</c:v>
                </c:pt>
              </c:strCache>
            </c:strRef>
          </c:tx>
          <c:spPr>
            <a:solidFill>
              <a:schemeClr val="accent6"/>
            </a:solidFill>
            <a:ln>
              <a:noFill/>
            </a:ln>
            <a:effectLst/>
          </c:spPr>
          <c:invertIfNegative val="0"/>
          <c:cat>
            <c:strRef>
              <c:f>'wtp bovins2'!$B$23:$F$23</c:f>
              <c:strCache>
                <c:ptCount val="5"/>
                <c:pt idx="0">
                  <c:v>retard des pluies</c:v>
                </c:pt>
                <c:pt idx="1">
                  <c:v>pluies insuffisantes</c:v>
                </c:pt>
                <c:pt idx="2">
                  <c:v>intempéries</c:v>
                </c:pt>
                <c:pt idx="3">
                  <c:v>vol du bétail</c:v>
                </c:pt>
                <c:pt idx="4">
                  <c:v>mort naturelle</c:v>
                </c:pt>
              </c:strCache>
            </c:strRef>
          </c:cat>
          <c:val>
            <c:numRef>
              <c:f>'wtp bovins2'!$B$29:$F$29</c:f>
              <c:numCache>
                <c:formatCode>0</c:formatCode>
                <c:ptCount val="5"/>
                <c:pt idx="0">
                  <c:v>5.59</c:v>
                </c:pt>
                <c:pt idx="1">
                  <c:v>3.91</c:v>
                </c:pt>
                <c:pt idx="2">
                  <c:v>3.91</c:v>
                </c:pt>
                <c:pt idx="3">
                  <c:v>3.91</c:v>
                </c:pt>
                <c:pt idx="4">
                  <c:v>3.35</c:v>
                </c:pt>
              </c:numCache>
            </c:numRef>
          </c:val>
          <c:extLst xmlns:c16r2="http://schemas.microsoft.com/office/drawing/2015/06/chart">
            <c:ext xmlns:c16="http://schemas.microsoft.com/office/drawing/2014/chart" uri="{C3380CC4-5D6E-409C-BE32-E72D297353CC}">
              <c16:uniqueId val="{00000005-37C8-4B9F-A223-6E555A748AE3}"/>
            </c:ext>
          </c:extLst>
        </c:ser>
        <c:ser>
          <c:idx val="6"/>
          <c:order val="6"/>
          <c:tx>
            <c:strRef>
              <c:f>'wtp bovins2'!$A$30</c:f>
              <c:strCache>
                <c:ptCount val="1"/>
                <c:pt idx="0">
                  <c:v>10000</c:v>
                </c:pt>
              </c:strCache>
            </c:strRef>
          </c:tx>
          <c:spPr>
            <a:solidFill>
              <a:schemeClr val="accent1">
                <a:lumMod val="60000"/>
              </a:schemeClr>
            </a:solidFill>
            <a:ln>
              <a:noFill/>
            </a:ln>
            <a:effectLst/>
          </c:spPr>
          <c:invertIfNegative val="0"/>
          <c:cat>
            <c:strRef>
              <c:f>'wtp bovins2'!$B$23:$F$23</c:f>
              <c:strCache>
                <c:ptCount val="5"/>
                <c:pt idx="0">
                  <c:v>retard des pluies</c:v>
                </c:pt>
                <c:pt idx="1">
                  <c:v>pluies insuffisantes</c:v>
                </c:pt>
                <c:pt idx="2">
                  <c:v>intempéries</c:v>
                </c:pt>
                <c:pt idx="3">
                  <c:v>vol du bétail</c:v>
                </c:pt>
                <c:pt idx="4">
                  <c:v>mort naturelle</c:v>
                </c:pt>
              </c:strCache>
            </c:strRef>
          </c:cat>
          <c:val>
            <c:numRef>
              <c:f>'wtp bovins2'!$B$30:$F$30</c:f>
              <c:numCache>
                <c:formatCode>0</c:formatCode>
                <c:ptCount val="5"/>
                <c:pt idx="0">
                  <c:v>10.06</c:v>
                </c:pt>
                <c:pt idx="1">
                  <c:v>11.73</c:v>
                </c:pt>
                <c:pt idx="2">
                  <c:v>6.7</c:v>
                </c:pt>
                <c:pt idx="3">
                  <c:v>8.94</c:v>
                </c:pt>
                <c:pt idx="4">
                  <c:v>7.26</c:v>
                </c:pt>
              </c:numCache>
            </c:numRef>
          </c:val>
          <c:extLst xmlns:c16r2="http://schemas.microsoft.com/office/drawing/2015/06/chart">
            <c:ext xmlns:c16="http://schemas.microsoft.com/office/drawing/2014/chart" uri="{C3380CC4-5D6E-409C-BE32-E72D297353CC}">
              <c16:uniqueId val="{00000006-37C8-4B9F-A223-6E555A748AE3}"/>
            </c:ext>
          </c:extLst>
        </c:ser>
        <c:ser>
          <c:idx val="7"/>
          <c:order val="7"/>
          <c:tx>
            <c:strRef>
              <c:f>'wtp bovins2'!$A$31</c:f>
              <c:strCache>
                <c:ptCount val="1"/>
                <c:pt idx="0">
                  <c:v>plus de 10000</c:v>
                </c:pt>
              </c:strCache>
            </c:strRef>
          </c:tx>
          <c:spPr>
            <a:solidFill>
              <a:schemeClr val="accent2">
                <a:lumMod val="60000"/>
              </a:schemeClr>
            </a:solidFill>
            <a:ln>
              <a:noFill/>
            </a:ln>
            <a:effectLst/>
          </c:spPr>
          <c:invertIfNegative val="0"/>
          <c:cat>
            <c:strRef>
              <c:f>'wtp bovins2'!$B$23:$F$23</c:f>
              <c:strCache>
                <c:ptCount val="5"/>
                <c:pt idx="0">
                  <c:v>retard des pluies</c:v>
                </c:pt>
                <c:pt idx="1">
                  <c:v>pluies insuffisantes</c:v>
                </c:pt>
                <c:pt idx="2">
                  <c:v>intempéries</c:v>
                </c:pt>
                <c:pt idx="3">
                  <c:v>vol du bétail</c:v>
                </c:pt>
                <c:pt idx="4">
                  <c:v>mort naturelle</c:v>
                </c:pt>
              </c:strCache>
            </c:strRef>
          </c:cat>
          <c:val>
            <c:numRef>
              <c:f>'wtp bovins2'!$B$31:$F$31</c:f>
              <c:numCache>
                <c:formatCode>0</c:formatCode>
                <c:ptCount val="5"/>
                <c:pt idx="0">
                  <c:v>16.2</c:v>
                </c:pt>
                <c:pt idx="1">
                  <c:v>14.53</c:v>
                </c:pt>
                <c:pt idx="2">
                  <c:v>15.08</c:v>
                </c:pt>
                <c:pt idx="3">
                  <c:v>16.760000000000002</c:v>
                </c:pt>
                <c:pt idx="4">
                  <c:v>13.97</c:v>
                </c:pt>
              </c:numCache>
            </c:numRef>
          </c:val>
          <c:extLst xmlns:c16r2="http://schemas.microsoft.com/office/drawing/2015/06/chart">
            <c:ext xmlns:c16="http://schemas.microsoft.com/office/drawing/2014/chart" uri="{C3380CC4-5D6E-409C-BE32-E72D297353CC}">
              <c16:uniqueId val="{00000007-37C8-4B9F-A223-6E555A748AE3}"/>
            </c:ext>
          </c:extLst>
        </c:ser>
        <c:dLbls>
          <c:showLegendKey val="0"/>
          <c:showVal val="0"/>
          <c:showCatName val="0"/>
          <c:showSerName val="0"/>
          <c:showPercent val="0"/>
          <c:showBubbleSize val="0"/>
        </c:dLbls>
        <c:gapWidth val="219"/>
        <c:overlap val="-27"/>
        <c:axId val="329458792"/>
        <c:axId val="329572232"/>
      </c:barChart>
      <c:catAx>
        <c:axId val="329458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572232"/>
        <c:crosses val="autoZero"/>
        <c:auto val="1"/>
        <c:lblAlgn val="ctr"/>
        <c:lblOffset val="100"/>
        <c:noMultiLvlLbl val="0"/>
      </c:catAx>
      <c:valAx>
        <c:axId val="3295722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458792"/>
        <c:crosses val="autoZero"/>
        <c:crossBetween val="between"/>
      </c:valAx>
      <c:spPr>
        <a:noFill/>
        <a:ln>
          <a:noFill/>
        </a:ln>
        <a:effectLst/>
      </c:spPr>
    </c:plotArea>
    <c:legend>
      <c:legendPos val="b"/>
      <c:layout>
        <c:manualLayout>
          <c:xMode val="edge"/>
          <c:yMode val="edge"/>
          <c:x val="0"/>
          <c:y val="0.83908449876601243"/>
          <c:w val="1"/>
          <c:h val="0.1385274415324949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Consentement à payer</a:t>
            </a:r>
            <a:r>
              <a:rPr lang="fr-FR" baseline="0"/>
              <a:t> pour assurer tout le troupeau de bovins (en % des éleveurs)</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'wtp bovins2'!$A$34</c:f>
              <c:strCache>
                <c:ptCount val="1"/>
                <c:pt idx="0">
                  <c:v>rien</c:v>
                </c:pt>
              </c:strCache>
            </c:strRef>
          </c:tx>
          <c:spPr>
            <a:solidFill>
              <a:schemeClr val="accent1"/>
            </a:solidFill>
            <a:ln>
              <a:noFill/>
            </a:ln>
            <a:effectLst/>
          </c:spPr>
          <c:invertIfNegative val="0"/>
          <c:cat>
            <c:strRef>
              <c:f>'wtp bovins2'!$B$33:$F$33</c:f>
              <c:strCache>
                <c:ptCount val="5"/>
                <c:pt idx="0">
                  <c:v>retard des pluies</c:v>
                </c:pt>
                <c:pt idx="1">
                  <c:v>pluies insuffisantes</c:v>
                </c:pt>
                <c:pt idx="2">
                  <c:v>intempéries</c:v>
                </c:pt>
                <c:pt idx="3">
                  <c:v>vol du bétail</c:v>
                </c:pt>
                <c:pt idx="4">
                  <c:v>mort naturelle</c:v>
                </c:pt>
              </c:strCache>
            </c:strRef>
          </c:cat>
          <c:val>
            <c:numRef>
              <c:f>'wtp bovins2'!$B$34:$F$34</c:f>
              <c:numCache>
                <c:formatCode>0</c:formatCode>
                <c:ptCount val="5"/>
                <c:pt idx="0">
                  <c:v>7.82</c:v>
                </c:pt>
                <c:pt idx="1">
                  <c:v>8.94</c:v>
                </c:pt>
                <c:pt idx="2">
                  <c:v>10.61</c:v>
                </c:pt>
                <c:pt idx="3">
                  <c:v>11.17</c:v>
                </c:pt>
                <c:pt idx="4">
                  <c:v>11.73</c:v>
                </c:pt>
              </c:numCache>
            </c:numRef>
          </c:val>
          <c:extLst xmlns:c16r2="http://schemas.microsoft.com/office/drawing/2015/06/chart">
            <c:ext xmlns:c16="http://schemas.microsoft.com/office/drawing/2014/chart" uri="{C3380CC4-5D6E-409C-BE32-E72D297353CC}">
              <c16:uniqueId val="{00000000-E9E3-43D2-A438-2146F640B0AA}"/>
            </c:ext>
          </c:extLst>
        </c:ser>
        <c:ser>
          <c:idx val="1"/>
          <c:order val="1"/>
          <c:tx>
            <c:strRef>
              <c:f>'wtp bovins2'!$A$35</c:f>
              <c:strCache>
                <c:ptCount val="1"/>
                <c:pt idx="0">
                  <c:v>500</c:v>
                </c:pt>
              </c:strCache>
            </c:strRef>
          </c:tx>
          <c:spPr>
            <a:solidFill>
              <a:schemeClr val="accent2"/>
            </a:solidFill>
            <a:ln>
              <a:noFill/>
            </a:ln>
            <a:effectLst/>
          </c:spPr>
          <c:invertIfNegative val="0"/>
          <c:cat>
            <c:strRef>
              <c:f>'wtp bovins2'!$B$33:$F$33</c:f>
              <c:strCache>
                <c:ptCount val="5"/>
                <c:pt idx="0">
                  <c:v>retard des pluies</c:v>
                </c:pt>
                <c:pt idx="1">
                  <c:v>pluies insuffisantes</c:v>
                </c:pt>
                <c:pt idx="2">
                  <c:v>intempéries</c:v>
                </c:pt>
                <c:pt idx="3">
                  <c:v>vol du bétail</c:v>
                </c:pt>
                <c:pt idx="4">
                  <c:v>mort naturelle</c:v>
                </c:pt>
              </c:strCache>
            </c:strRef>
          </c:cat>
          <c:val>
            <c:numRef>
              <c:f>'wtp bovins2'!$B$35:$F$35</c:f>
              <c:numCache>
                <c:formatCode>0</c:formatCode>
                <c:ptCount val="5"/>
                <c:pt idx="0">
                  <c:v>1.1200000000000001</c:v>
                </c:pt>
                <c:pt idx="1">
                  <c:v>2.79</c:v>
                </c:pt>
                <c:pt idx="2">
                  <c:v>3.91</c:v>
                </c:pt>
                <c:pt idx="3">
                  <c:v>3.91</c:v>
                </c:pt>
                <c:pt idx="4">
                  <c:v>5.59</c:v>
                </c:pt>
              </c:numCache>
            </c:numRef>
          </c:val>
          <c:extLst xmlns:c16r2="http://schemas.microsoft.com/office/drawing/2015/06/chart">
            <c:ext xmlns:c16="http://schemas.microsoft.com/office/drawing/2014/chart" uri="{C3380CC4-5D6E-409C-BE32-E72D297353CC}">
              <c16:uniqueId val="{00000001-E9E3-43D2-A438-2146F640B0AA}"/>
            </c:ext>
          </c:extLst>
        </c:ser>
        <c:ser>
          <c:idx val="2"/>
          <c:order val="2"/>
          <c:tx>
            <c:strRef>
              <c:f>'wtp bovins2'!$A$36</c:f>
              <c:strCache>
                <c:ptCount val="1"/>
                <c:pt idx="0">
                  <c:v>1000</c:v>
                </c:pt>
              </c:strCache>
            </c:strRef>
          </c:tx>
          <c:spPr>
            <a:solidFill>
              <a:schemeClr val="accent3"/>
            </a:solidFill>
            <a:ln>
              <a:noFill/>
            </a:ln>
            <a:effectLst/>
          </c:spPr>
          <c:invertIfNegative val="0"/>
          <c:cat>
            <c:strRef>
              <c:f>'wtp bovins2'!$B$33:$F$33</c:f>
              <c:strCache>
                <c:ptCount val="5"/>
                <c:pt idx="0">
                  <c:v>retard des pluies</c:v>
                </c:pt>
                <c:pt idx="1">
                  <c:v>pluies insuffisantes</c:v>
                </c:pt>
                <c:pt idx="2">
                  <c:v>intempéries</c:v>
                </c:pt>
                <c:pt idx="3">
                  <c:v>vol du bétail</c:v>
                </c:pt>
                <c:pt idx="4">
                  <c:v>mort naturelle</c:v>
                </c:pt>
              </c:strCache>
            </c:strRef>
          </c:cat>
          <c:val>
            <c:numRef>
              <c:f>'wtp bovins2'!$B$36:$F$36</c:f>
              <c:numCache>
                <c:formatCode>0</c:formatCode>
                <c:ptCount val="5"/>
                <c:pt idx="0">
                  <c:v>12.85</c:v>
                </c:pt>
                <c:pt idx="1">
                  <c:v>8.94</c:v>
                </c:pt>
                <c:pt idx="2">
                  <c:v>11.73</c:v>
                </c:pt>
                <c:pt idx="3">
                  <c:v>11.17</c:v>
                </c:pt>
                <c:pt idx="4">
                  <c:v>13.97</c:v>
                </c:pt>
              </c:numCache>
            </c:numRef>
          </c:val>
          <c:extLst xmlns:c16r2="http://schemas.microsoft.com/office/drawing/2015/06/chart">
            <c:ext xmlns:c16="http://schemas.microsoft.com/office/drawing/2014/chart" uri="{C3380CC4-5D6E-409C-BE32-E72D297353CC}">
              <c16:uniqueId val="{00000002-E9E3-43D2-A438-2146F640B0AA}"/>
            </c:ext>
          </c:extLst>
        </c:ser>
        <c:ser>
          <c:idx val="3"/>
          <c:order val="3"/>
          <c:tx>
            <c:strRef>
              <c:f>'wtp bovins2'!$A$37</c:f>
              <c:strCache>
                <c:ptCount val="1"/>
                <c:pt idx="0">
                  <c:v>3000</c:v>
                </c:pt>
              </c:strCache>
            </c:strRef>
          </c:tx>
          <c:spPr>
            <a:solidFill>
              <a:schemeClr val="accent4"/>
            </a:solidFill>
            <a:ln>
              <a:noFill/>
            </a:ln>
            <a:effectLst/>
          </c:spPr>
          <c:invertIfNegative val="0"/>
          <c:cat>
            <c:strRef>
              <c:f>'wtp bovins2'!$B$33:$F$33</c:f>
              <c:strCache>
                <c:ptCount val="5"/>
                <c:pt idx="0">
                  <c:v>retard des pluies</c:v>
                </c:pt>
                <c:pt idx="1">
                  <c:v>pluies insuffisantes</c:v>
                </c:pt>
                <c:pt idx="2">
                  <c:v>intempéries</c:v>
                </c:pt>
                <c:pt idx="3">
                  <c:v>vol du bétail</c:v>
                </c:pt>
                <c:pt idx="4">
                  <c:v>mort naturelle</c:v>
                </c:pt>
              </c:strCache>
            </c:strRef>
          </c:cat>
          <c:val>
            <c:numRef>
              <c:f>'wtp bovins2'!$B$37:$F$37</c:f>
              <c:numCache>
                <c:formatCode>0</c:formatCode>
                <c:ptCount val="5"/>
                <c:pt idx="0">
                  <c:v>15.08</c:v>
                </c:pt>
                <c:pt idx="1">
                  <c:v>16.760000000000002</c:v>
                </c:pt>
                <c:pt idx="2">
                  <c:v>17.32</c:v>
                </c:pt>
                <c:pt idx="3">
                  <c:v>14.53</c:v>
                </c:pt>
                <c:pt idx="4">
                  <c:v>16.760000000000002</c:v>
                </c:pt>
              </c:numCache>
            </c:numRef>
          </c:val>
          <c:extLst xmlns:c16r2="http://schemas.microsoft.com/office/drawing/2015/06/chart">
            <c:ext xmlns:c16="http://schemas.microsoft.com/office/drawing/2014/chart" uri="{C3380CC4-5D6E-409C-BE32-E72D297353CC}">
              <c16:uniqueId val="{00000003-E9E3-43D2-A438-2146F640B0AA}"/>
            </c:ext>
          </c:extLst>
        </c:ser>
        <c:ser>
          <c:idx val="4"/>
          <c:order val="4"/>
          <c:tx>
            <c:strRef>
              <c:f>'wtp bovins2'!$A$38</c:f>
              <c:strCache>
                <c:ptCount val="1"/>
                <c:pt idx="0">
                  <c:v>5000</c:v>
                </c:pt>
              </c:strCache>
            </c:strRef>
          </c:tx>
          <c:spPr>
            <a:solidFill>
              <a:schemeClr val="accent5"/>
            </a:solidFill>
            <a:ln>
              <a:noFill/>
            </a:ln>
            <a:effectLst/>
          </c:spPr>
          <c:invertIfNegative val="0"/>
          <c:cat>
            <c:strRef>
              <c:f>'wtp bovins2'!$B$33:$F$33</c:f>
              <c:strCache>
                <c:ptCount val="5"/>
                <c:pt idx="0">
                  <c:v>retard des pluies</c:v>
                </c:pt>
                <c:pt idx="1">
                  <c:v>pluies insuffisantes</c:v>
                </c:pt>
                <c:pt idx="2">
                  <c:v>intempéries</c:v>
                </c:pt>
                <c:pt idx="3">
                  <c:v>vol du bétail</c:v>
                </c:pt>
                <c:pt idx="4">
                  <c:v>mort naturelle</c:v>
                </c:pt>
              </c:strCache>
            </c:strRef>
          </c:cat>
          <c:val>
            <c:numRef>
              <c:f>'wtp bovins2'!$B$38:$F$38</c:f>
              <c:numCache>
                <c:formatCode>0</c:formatCode>
                <c:ptCount val="5"/>
                <c:pt idx="0">
                  <c:v>6.15</c:v>
                </c:pt>
                <c:pt idx="1">
                  <c:v>6.7</c:v>
                </c:pt>
                <c:pt idx="2">
                  <c:v>7.26</c:v>
                </c:pt>
                <c:pt idx="3">
                  <c:v>4.47</c:v>
                </c:pt>
                <c:pt idx="4">
                  <c:v>5.59</c:v>
                </c:pt>
              </c:numCache>
            </c:numRef>
          </c:val>
          <c:extLst xmlns:c16r2="http://schemas.microsoft.com/office/drawing/2015/06/chart">
            <c:ext xmlns:c16="http://schemas.microsoft.com/office/drawing/2014/chart" uri="{C3380CC4-5D6E-409C-BE32-E72D297353CC}">
              <c16:uniqueId val="{00000004-E9E3-43D2-A438-2146F640B0AA}"/>
            </c:ext>
          </c:extLst>
        </c:ser>
        <c:ser>
          <c:idx val="5"/>
          <c:order val="5"/>
          <c:tx>
            <c:strRef>
              <c:f>'wtp bovins2'!$A$39</c:f>
              <c:strCache>
                <c:ptCount val="1"/>
                <c:pt idx="0">
                  <c:v>7500</c:v>
                </c:pt>
              </c:strCache>
            </c:strRef>
          </c:tx>
          <c:spPr>
            <a:solidFill>
              <a:schemeClr val="accent6"/>
            </a:solidFill>
            <a:ln>
              <a:noFill/>
            </a:ln>
            <a:effectLst/>
          </c:spPr>
          <c:invertIfNegative val="0"/>
          <c:cat>
            <c:strRef>
              <c:f>'wtp bovins2'!$B$33:$F$33</c:f>
              <c:strCache>
                <c:ptCount val="5"/>
                <c:pt idx="0">
                  <c:v>retard des pluies</c:v>
                </c:pt>
                <c:pt idx="1">
                  <c:v>pluies insuffisantes</c:v>
                </c:pt>
                <c:pt idx="2">
                  <c:v>intempéries</c:v>
                </c:pt>
                <c:pt idx="3">
                  <c:v>vol du bétail</c:v>
                </c:pt>
                <c:pt idx="4">
                  <c:v>mort naturelle</c:v>
                </c:pt>
              </c:strCache>
            </c:strRef>
          </c:cat>
          <c:val>
            <c:numRef>
              <c:f>'wtp bovins2'!$B$39:$F$39</c:f>
              <c:numCache>
                <c:formatCode>0</c:formatCode>
                <c:ptCount val="5"/>
                <c:pt idx="0">
                  <c:v>5.03</c:v>
                </c:pt>
                <c:pt idx="1">
                  <c:v>2.79</c:v>
                </c:pt>
                <c:pt idx="2">
                  <c:v>3.91</c:v>
                </c:pt>
                <c:pt idx="3">
                  <c:v>2.79</c:v>
                </c:pt>
                <c:pt idx="4">
                  <c:v>1.68</c:v>
                </c:pt>
              </c:numCache>
            </c:numRef>
          </c:val>
          <c:extLst xmlns:c16r2="http://schemas.microsoft.com/office/drawing/2015/06/chart">
            <c:ext xmlns:c16="http://schemas.microsoft.com/office/drawing/2014/chart" uri="{C3380CC4-5D6E-409C-BE32-E72D297353CC}">
              <c16:uniqueId val="{00000005-E9E3-43D2-A438-2146F640B0AA}"/>
            </c:ext>
          </c:extLst>
        </c:ser>
        <c:ser>
          <c:idx val="6"/>
          <c:order val="6"/>
          <c:tx>
            <c:strRef>
              <c:f>'wtp bovins2'!$A$40</c:f>
              <c:strCache>
                <c:ptCount val="1"/>
                <c:pt idx="0">
                  <c:v>10000</c:v>
                </c:pt>
              </c:strCache>
            </c:strRef>
          </c:tx>
          <c:spPr>
            <a:solidFill>
              <a:schemeClr val="accent1">
                <a:lumMod val="60000"/>
              </a:schemeClr>
            </a:solidFill>
            <a:ln>
              <a:noFill/>
            </a:ln>
            <a:effectLst/>
          </c:spPr>
          <c:invertIfNegative val="0"/>
          <c:cat>
            <c:strRef>
              <c:f>'wtp bovins2'!$B$33:$F$33</c:f>
              <c:strCache>
                <c:ptCount val="5"/>
                <c:pt idx="0">
                  <c:v>retard des pluies</c:v>
                </c:pt>
                <c:pt idx="1">
                  <c:v>pluies insuffisantes</c:v>
                </c:pt>
                <c:pt idx="2">
                  <c:v>intempéries</c:v>
                </c:pt>
                <c:pt idx="3">
                  <c:v>vol du bétail</c:v>
                </c:pt>
                <c:pt idx="4">
                  <c:v>mort naturelle</c:v>
                </c:pt>
              </c:strCache>
            </c:strRef>
          </c:cat>
          <c:val>
            <c:numRef>
              <c:f>'wtp bovins2'!$B$40:$F$40</c:f>
              <c:numCache>
                <c:formatCode>0</c:formatCode>
                <c:ptCount val="5"/>
                <c:pt idx="0">
                  <c:v>11.17</c:v>
                </c:pt>
                <c:pt idx="1">
                  <c:v>12.29</c:v>
                </c:pt>
                <c:pt idx="2">
                  <c:v>11.17</c:v>
                </c:pt>
                <c:pt idx="3">
                  <c:v>13.97</c:v>
                </c:pt>
                <c:pt idx="4">
                  <c:v>12.85</c:v>
                </c:pt>
              </c:numCache>
            </c:numRef>
          </c:val>
          <c:extLst xmlns:c16r2="http://schemas.microsoft.com/office/drawing/2015/06/chart">
            <c:ext xmlns:c16="http://schemas.microsoft.com/office/drawing/2014/chart" uri="{C3380CC4-5D6E-409C-BE32-E72D297353CC}">
              <c16:uniqueId val="{00000006-E9E3-43D2-A438-2146F640B0AA}"/>
            </c:ext>
          </c:extLst>
        </c:ser>
        <c:ser>
          <c:idx val="7"/>
          <c:order val="7"/>
          <c:tx>
            <c:strRef>
              <c:f>'wtp bovins2'!$A$41</c:f>
              <c:strCache>
                <c:ptCount val="1"/>
                <c:pt idx="0">
                  <c:v>plus de 10000</c:v>
                </c:pt>
              </c:strCache>
            </c:strRef>
          </c:tx>
          <c:spPr>
            <a:solidFill>
              <a:schemeClr val="accent2">
                <a:lumMod val="60000"/>
              </a:schemeClr>
            </a:solidFill>
            <a:ln>
              <a:noFill/>
            </a:ln>
            <a:effectLst/>
          </c:spPr>
          <c:invertIfNegative val="0"/>
          <c:cat>
            <c:strRef>
              <c:f>'wtp bovins2'!$B$33:$F$33</c:f>
              <c:strCache>
                <c:ptCount val="5"/>
                <c:pt idx="0">
                  <c:v>retard des pluies</c:v>
                </c:pt>
                <c:pt idx="1">
                  <c:v>pluies insuffisantes</c:v>
                </c:pt>
                <c:pt idx="2">
                  <c:v>intempéries</c:v>
                </c:pt>
                <c:pt idx="3">
                  <c:v>vol du bétail</c:v>
                </c:pt>
                <c:pt idx="4">
                  <c:v>mort naturelle</c:v>
                </c:pt>
              </c:strCache>
            </c:strRef>
          </c:cat>
          <c:val>
            <c:numRef>
              <c:f>'wtp bovins2'!$B$41:$F$41</c:f>
              <c:numCache>
                <c:formatCode>0</c:formatCode>
                <c:ptCount val="5"/>
                <c:pt idx="0">
                  <c:v>40.78</c:v>
                </c:pt>
                <c:pt idx="1">
                  <c:v>40.78</c:v>
                </c:pt>
                <c:pt idx="2">
                  <c:v>34.08</c:v>
                </c:pt>
                <c:pt idx="3">
                  <c:v>37.99</c:v>
                </c:pt>
                <c:pt idx="4">
                  <c:v>31.84</c:v>
                </c:pt>
              </c:numCache>
            </c:numRef>
          </c:val>
          <c:extLst xmlns:c16r2="http://schemas.microsoft.com/office/drawing/2015/06/chart">
            <c:ext xmlns:c16="http://schemas.microsoft.com/office/drawing/2014/chart" uri="{C3380CC4-5D6E-409C-BE32-E72D297353CC}">
              <c16:uniqueId val="{00000007-E9E3-43D2-A438-2146F640B0AA}"/>
            </c:ext>
          </c:extLst>
        </c:ser>
        <c:dLbls>
          <c:showLegendKey val="0"/>
          <c:showVal val="0"/>
          <c:showCatName val="0"/>
          <c:showSerName val="0"/>
          <c:showPercent val="0"/>
          <c:showBubbleSize val="0"/>
        </c:dLbls>
        <c:gapWidth val="219"/>
        <c:overlap val="-27"/>
        <c:axId val="329573016"/>
        <c:axId val="329573408"/>
      </c:barChart>
      <c:catAx>
        <c:axId val="329573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573408"/>
        <c:crosses val="autoZero"/>
        <c:auto val="1"/>
        <c:lblAlgn val="ctr"/>
        <c:lblOffset val="100"/>
        <c:noMultiLvlLbl val="0"/>
      </c:catAx>
      <c:valAx>
        <c:axId val="3295734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573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Consentement</a:t>
            </a:r>
            <a:r>
              <a:rPr lang="fr-FR" baseline="0"/>
              <a:t> à payer pour assurer une valeur de 100 000 FCFA des bovins (en % d'éleveurs)</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'wtp bovins2'!$A$2</c:f>
              <c:strCache>
                <c:ptCount val="1"/>
                <c:pt idx="0">
                  <c:v>rien</c:v>
                </c:pt>
              </c:strCache>
            </c:strRef>
          </c:tx>
          <c:spPr>
            <a:solidFill>
              <a:schemeClr val="accent1"/>
            </a:solidFill>
            <a:ln>
              <a:noFill/>
            </a:ln>
            <a:effectLst/>
          </c:spPr>
          <c:invertIfNegative val="0"/>
          <c:cat>
            <c:strRef>
              <c:f>'wtp bovins2'!$B$1:$F$1</c:f>
              <c:strCache>
                <c:ptCount val="5"/>
                <c:pt idx="0">
                  <c:v>retard des pluies</c:v>
                </c:pt>
                <c:pt idx="1">
                  <c:v>pluies insuffisantes</c:v>
                </c:pt>
                <c:pt idx="2">
                  <c:v>intempéries</c:v>
                </c:pt>
                <c:pt idx="3">
                  <c:v>vol du bétail</c:v>
                </c:pt>
                <c:pt idx="4">
                  <c:v>mort naturelle</c:v>
                </c:pt>
              </c:strCache>
            </c:strRef>
          </c:cat>
          <c:val>
            <c:numRef>
              <c:f>'wtp bovins2'!$B$2:$F$2</c:f>
              <c:numCache>
                <c:formatCode>0</c:formatCode>
                <c:ptCount val="5"/>
                <c:pt idx="0">
                  <c:v>8.94</c:v>
                </c:pt>
                <c:pt idx="1">
                  <c:v>10.06</c:v>
                </c:pt>
                <c:pt idx="2">
                  <c:v>11.73</c:v>
                </c:pt>
                <c:pt idx="3">
                  <c:v>12.29</c:v>
                </c:pt>
                <c:pt idx="4">
                  <c:v>13.41</c:v>
                </c:pt>
              </c:numCache>
            </c:numRef>
          </c:val>
          <c:extLst xmlns:c16r2="http://schemas.microsoft.com/office/drawing/2015/06/chart">
            <c:ext xmlns:c16="http://schemas.microsoft.com/office/drawing/2014/chart" uri="{C3380CC4-5D6E-409C-BE32-E72D297353CC}">
              <c16:uniqueId val="{00000000-5474-4D2A-97C5-C86E7DF8B868}"/>
            </c:ext>
          </c:extLst>
        </c:ser>
        <c:ser>
          <c:idx val="1"/>
          <c:order val="1"/>
          <c:tx>
            <c:strRef>
              <c:f>'wtp bovins2'!$A$3</c:f>
              <c:strCache>
                <c:ptCount val="1"/>
                <c:pt idx="0">
                  <c:v>500</c:v>
                </c:pt>
              </c:strCache>
            </c:strRef>
          </c:tx>
          <c:spPr>
            <a:solidFill>
              <a:schemeClr val="accent2"/>
            </a:solidFill>
            <a:ln>
              <a:noFill/>
            </a:ln>
            <a:effectLst/>
          </c:spPr>
          <c:invertIfNegative val="0"/>
          <c:cat>
            <c:strRef>
              <c:f>'wtp bovins2'!$B$1:$F$1</c:f>
              <c:strCache>
                <c:ptCount val="5"/>
                <c:pt idx="0">
                  <c:v>retard des pluies</c:v>
                </c:pt>
                <c:pt idx="1">
                  <c:v>pluies insuffisantes</c:v>
                </c:pt>
                <c:pt idx="2">
                  <c:v>intempéries</c:v>
                </c:pt>
                <c:pt idx="3">
                  <c:v>vol du bétail</c:v>
                </c:pt>
                <c:pt idx="4">
                  <c:v>mort naturelle</c:v>
                </c:pt>
              </c:strCache>
            </c:strRef>
          </c:cat>
          <c:val>
            <c:numRef>
              <c:f>'wtp bovins2'!$B$3:$F$3</c:f>
              <c:numCache>
                <c:formatCode>0</c:formatCode>
                <c:ptCount val="5"/>
                <c:pt idx="0">
                  <c:v>5.59</c:v>
                </c:pt>
                <c:pt idx="1">
                  <c:v>6.7</c:v>
                </c:pt>
                <c:pt idx="2">
                  <c:v>8.94</c:v>
                </c:pt>
                <c:pt idx="3">
                  <c:v>5.59</c:v>
                </c:pt>
                <c:pt idx="4">
                  <c:v>8.3800000000000008</c:v>
                </c:pt>
              </c:numCache>
            </c:numRef>
          </c:val>
          <c:extLst xmlns:c16r2="http://schemas.microsoft.com/office/drawing/2015/06/chart">
            <c:ext xmlns:c16="http://schemas.microsoft.com/office/drawing/2014/chart" uri="{C3380CC4-5D6E-409C-BE32-E72D297353CC}">
              <c16:uniqueId val="{00000001-5474-4D2A-97C5-C86E7DF8B868}"/>
            </c:ext>
          </c:extLst>
        </c:ser>
        <c:ser>
          <c:idx val="2"/>
          <c:order val="2"/>
          <c:tx>
            <c:strRef>
              <c:f>'wtp bovins2'!$A$4</c:f>
              <c:strCache>
                <c:ptCount val="1"/>
                <c:pt idx="0">
                  <c:v>1000</c:v>
                </c:pt>
              </c:strCache>
            </c:strRef>
          </c:tx>
          <c:spPr>
            <a:solidFill>
              <a:schemeClr val="accent3"/>
            </a:solidFill>
            <a:ln>
              <a:noFill/>
            </a:ln>
            <a:effectLst/>
          </c:spPr>
          <c:invertIfNegative val="0"/>
          <c:cat>
            <c:strRef>
              <c:f>'wtp bovins2'!$B$1:$F$1</c:f>
              <c:strCache>
                <c:ptCount val="5"/>
                <c:pt idx="0">
                  <c:v>retard des pluies</c:v>
                </c:pt>
                <c:pt idx="1">
                  <c:v>pluies insuffisantes</c:v>
                </c:pt>
                <c:pt idx="2">
                  <c:v>intempéries</c:v>
                </c:pt>
                <c:pt idx="3">
                  <c:v>vol du bétail</c:v>
                </c:pt>
                <c:pt idx="4">
                  <c:v>mort naturelle</c:v>
                </c:pt>
              </c:strCache>
            </c:strRef>
          </c:cat>
          <c:val>
            <c:numRef>
              <c:f>'wtp bovins2'!$B$4:$F$4</c:f>
              <c:numCache>
                <c:formatCode>0</c:formatCode>
                <c:ptCount val="5"/>
                <c:pt idx="0">
                  <c:v>16.2</c:v>
                </c:pt>
                <c:pt idx="1">
                  <c:v>12.29</c:v>
                </c:pt>
                <c:pt idx="2">
                  <c:v>13.97</c:v>
                </c:pt>
                <c:pt idx="3">
                  <c:v>14.53</c:v>
                </c:pt>
                <c:pt idx="4">
                  <c:v>18.989999999999998</c:v>
                </c:pt>
              </c:numCache>
            </c:numRef>
          </c:val>
          <c:extLst xmlns:c16r2="http://schemas.microsoft.com/office/drawing/2015/06/chart">
            <c:ext xmlns:c16="http://schemas.microsoft.com/office/drawing/2014/chart" uri="{C3380CC4-5D6E-409C-BE32-E72D297353CC}">
              <c16:uniqueId val="{00000002-5474-4D2A-97C5-C86E7DF8B868}"/>
            </c:ext>
          </c:extLst>
        </c:ser>
        <c:ser>
          <c:idx val="3"/>
          <c:order val="3"/>
          <c:tx>
            <c:strRef>
              <c:f>'wtp bovins2'!$A$5</c:f>
              <c:strCache>
                <c:ptCount val="1"/>
                <c:pt idx="0">
                  <c:v>3000</c:v>
                </c:pt>
              </c:strCache>
            </c:strRef>
          </c:tx>
          <c:spPr>
            <a:solidFill>
              <a:schemeClr val="accent4"/>
            </a:solidFill>
            <a:ln>
              <a:noFill/>
            </a:ln>
            <a:effectLst/>
          </c:spPr>
          <c:invertIfNegative val="0"/>
          <c:cat>
            <c:strRef>
              <c:f>'wtp bovins2'!$B$1:$F$1</c:f>
              <c:strCache>
                <c:ptCount val="5"/>
                <c:pt idx="0">
                  <c:v>retard des pluies</c:v>
                </c:pt>
                <c:pt idx="1">
                  <c:v>pluies insuffisantes</c:v>
                </c:pt>
                <c:pt idx="2">
                  <c:v>intempéries</c:v>
                </c:pt>
                <c:pt idx="3">
                  <c:v>vol du bétail</c:v>
                </c:pt>
                <c:pt idx="4">
                  <c:v>mort naturelle</c:v>
                </c:pt>
              </c:strCache>
            </c:strRef>
          </c:cat>
          <c:val>
            <c:numRef>
              <c:f>'wtp bovins2'!$B$5:$F$5</c:f>
              <c:numCache>
                <c:formatCode>0</c:formatCode>
                <c:ptCount val="5"/>
                <c:pt idx="0">
                  <c:v>24.58</c:v>
                </c:pt>
                <c:pt idx="1">
                  <c:v>27.37</c:v>
                </c:pt>
                <c:pt idx="2">
                  <c:v>25.14</c:v>
                </c:pt>
                <c:pt idx="3">
                  <c:v>24.02</c:v>
                </c:pt>
                <c:pt idx="4">
                  <c:v>21.79</c:v>
                </c:pt>
              </c:numCache>
            </c:numRef>
          </c:val>
          <c:extLst xmlns:c16r2="http://schemas.microsoft.com/office/drawing/2015/06/chart">
            <c:ext xmlns:c16="http://schemas.microsoft.com/office/drawing/2014/chart" uri="{C3380CC4-5D6E-409C-BE32-E72D297353CC}">
              <c16:uniqueId val="{00000003-5474-4D2A-97C5-C86E7DF8B868}"/>
            </c:ext>
          </c:extLst>
        </c:ser>
        <c:ser>
          <c:idx val="4"/>
          <c:order val="4"/>
          <c:tx>
            <c:strRef>
              <c:f>'wtp bovins2'!$A$6</c:f>
              <c:strCache>
                <c:ptCount val="1"/>
                <c:pt idx="0">
                  <c:v>5000</c:v>
                </c:pt>
              </c:strCache>
            </c:strRef>
          </c:tx>
          <c:spPr>
            <a:solidFill>
              <a:schemeClr val="accent5"/>
            </a:solidFill>
            <a:ln>
              <a:noFill/>
            </a:ln>
            <a:effectLst/>
          </c:spPr>
          <c:invertIfNegative val="0"/>
          <c:cat>
            <c:strRef>
              <c:f>'wtp bovins2'!$B$1:$F$1</c:f>
              <c:strCache>
                <c:ptCount val="5"/>
                <c:pt idx="0">
                  <c:v>retard des pluies</c:v>
                </c:pt>
                <c:pt idx="1">
                  <c:v>pluies insuffisantes</c:v>
                </c:pt>
                <c:pt idx="2">
                  <c:v>intempéries</c:v>
                </c:pt>
                <c:pt idx="3">
                  <c:v>vol du bétail</c:v>
                </c:pt>
                <c:pt idx="4">
                  <c:v>mort naturelle</c:v>
                </c:pt>
              </c:strCache>
            </c:strRef>
          </c:cat>
          <c:val>
            <c:numRef>
              <c:f>'wtp bovins2'!$B$6:$F$6</c:f>
              <c:numCache>
                <c:formatCode>0</c:formatCode>
                <c:ptCount val="5"/>
                <c:pt idx="0">
                  <c:v>10.61</c:v>
                </c:pt>
                <c:pt idx="1">
                  <c:v>10.61</c:v>
                </c:pt>
                <c:pt idx="2">
                  <c:v>11.17</c:v>
                </c:pt>
                <c:pt idx="3">
                  <c:v>11.17</c:v>
                </c:pt>
                <c:pt idx="4">
                  <c:v>10.61</c:v>
                </c:pt>
              </c:numCache>
            </c:numRef>
          </c:val>
          <c:extLst xmlns:c16r2="http://schemas.microsoft.com/office/drawing/2015/06/chart">
            <c:ext xmlns:c16="http://schemas.microsoft.com/office/drawing/2014/chart" uri="{C3380CC4-5D6E-409C-BE32-E72D297353CC}">
              <c16:uniqueId val="{00000004-5474-4D2A-97C5-C86E7DF8B868}"/>
            </c:ext>
          </c:extLst>
        </c:ser>
        <c:ser>
          <c:idx val="5"/>
          <c:order val="5"/>
          <c:tx>
            <c:strRef>
              <c:f>'wtp bovins2'!$A$7</c:f>
              <c:strCache>
                <c:ptCount val="1"/>
                <c:pt idx="0">
                  <c:v>7500</c:v>
                </c:pt>
              </c:strCache>
            </c:strRef>
          </c:tx>
          <c:spPr>
            <a:solidFill>
              <a:schemeClr val="accent6"/>
            </a:solidFill>
            <a:ln>
              <a:noFill/>
            </a:ln>
            <a:effectLst/>
          </c:spPr>
          <c:invertIfNegative val="0"/>
          <c:cat>
            <c:strRef>
              <c:f>'wtp bovins2'!$B$1:$F$1</c:f>
              <c:strCache>
                <c:ptCount val="5"/>
                <c:pt idx="0">
                  <c:v>retard des pluies</c:v>
                </c:pt>
                <c:pt idx="1">
                  <c:v>pluies insuffisantes</c:v>
                </c:pt>
                <c:pt idx="2">
                  <c:v>intempéries</c:v>
                </c:pt>
                <c:pt idx="3">
                  <c:v>vol du bétail</c:v>
                </c:pt>
                <c:pt idx="4">
                  <c:v>mort naturelle</c:v>
                </c:pt>
              </c:strCache>
            </c:strRef>
          </c:cat>
          <c:val>
            <c:numRef>
              <c:f>'wtp bovins2'!$B$7:$F$7</c:f>
              <c:numCache>
                <c:formatCode>0</c:formatCode>
                <c:ptCount val="5"/>
                <c:pt idx="0">
                  <c:v>7.82</c:v>
                </c:pt>
                <c:pt idx="1">
                  <c:v>8.3800000000000008</c:v>
                </c:pt>
                <c:pt idx="2">
                  <c:v>5.03</c:v>
                </c:pt>
                <c:pt idx="3">
                  <c:v>6.7</c:v>
                </c:pt>
                <c:pt idx="4">
                  <c:v>5.03</c:v>
                </c:pt>
              </c:numCache>
            </c:numRef>
          </c:val>
          <c:extLst xmlns:c16r2="http://schemas.microsoft.com/office/drawing/2015/06/chart">
            <c:ext xmlns:c16="http://schemas.microsoft.com/office/drawing/2014/chart" uri="{C3380CC4-5D6E-409C-BE32-E72D297353CC}">
              <c16:uniqueId val="{00000005-5474-4D2A-97C5-C86E7DF8B868}"/>
            </c:ext>
          </c:extLst>
        </c:ser>
        <c:ser>
          <c:idx val="6"/>
          <c:order val="6"/>
          <c:tx>
            <c:strRef>
              <c:f>'wtp bovins2'!$A$8</c:f>
              <c:strCache>
                <c:ptCount val="1"/>
                <c:pt idx="0">
                  <c:v>10000</c:v>
                </c:pt>
              </c:strCache>
            </c:strRef>
          </c:tx>
          <c:spPr>
            <a:solidFill>
              <a:schemeClr val="accent1">
                <a:lumMod val="60000"/>
              </a:schemeClr>
            </a:solidFill>
            <a:ln>
              <a:noFill/>
            </a:ln>
            <a:effectLst/>
          </c:spPr>
          <c:invertIfNegative val="0"/>
          <c:cat>
            <c:strRef>
              <c:f>'wtp bovins2'!$B$1:$F$1</c:f>
              <c:strCache>
                <c:ptCount val="5"/>
                <c:pt idx="0">
                  <c:v>retard des pluies</c:v>
                </c:pt>
                <c:pt idx="1">
                  <c:v>pluies insuffisantes</c:v>
                </c:pt>
                <c:pt idx="2">
                  <c:v>intempéries</c:v>
                </c:pt>
                <c:pt idx="3">
                  <c:v>vol du bétail</c:v>
                </c:pt>
                <c:pt idx="4">
                  <c:v>mort naturelle</c:v>
                </c:pt>
              </c:strCache>
            </c:strRef>
          </c:cat>
          <c:val>
            <c:numRef>
              <c:f>'wtp bovins2'!$B$8:$F$8</c:f>
              <c:numCache>
                <c:formatCode>0</c:formatCode>
                <c:ptCount val="5"/>
                <c:pt idx="0">
                  <c:v>11.73</c:v>
                </c:pt>
                <c:pt idx="1">
                  <c:v>11.73</c:v>
                </c:pt>
                <c:pt idx="2">
                  <c:v>11.17</c:v>
                </c:pt>
                <c:pt idx="3">
                  <c:v>11.17</c:v>
                </c:pt>
                <c:pt idx="4">
                  <c:v>11.73</c:v>
                </c:pt>
              </c:numCache>
            </c:numRef>
          </c:val>
          <c:extLst xmlns:c16r2="http://schemas.microsoft.com/office/drawing/2015/06/chart">
            <c:ext xmlns:c16="http://schemas.microsoft.com/office/drawing/2014/chart" uri="{C3380CC4-5D6E-409C-BE32-E72D297353CC}">
              <c16:uniqueId val="{00000006-5474-4D2A-97C5-C86E7DF8B868}"/>
            </c:ext>
          </c:extLst>
        </c:ser>
        <c:ser>
          <c:idx val="7"/>
          <c:order val="7"/>
          <c:tx>
            <c:strRef>
              <c:f>'wtp bovins2'!$A$9</c:f>
              <c:strCache>
                <c:ptCount val="1"/>
                <c:pt idx="0">
                  <c:v>plus de 10000</c:v>
                </c:pt>
              </c:strCache>
            </c:strRef>
          </c:tx>
          <c:spPr>
            <a:solidFill>
              <a:schemeClr val="accent2">
                <a:lumMod val="60000"/>
              </a:schemeClr>
            </a:solidFill>
            <a:ln>
              <a:noFill/>
            </a:ln>
            <a:effectLst/>
          </c:spPr>
          <c:invertIfNegative val="0"/>
          <c:cat>
            <c:strRef>
              <c:f>'wtp bovins2'!$B$1:$F$1</c:f>
              <c:strCache>
                <c:ptCount val="5"/>
                <c:pt idx="0">
                  <c:v>retard des pluies</c:v>
                </c:pt>
                <c:pt idx="1">
                  <c:v>pluies insuffisantes</c:v>
                </c:pt>
                <c:pt idx="2">
                  <c:v>intempéries</c:v>
                </c:pt>
                <c:pt idx="3">
                  <c:v>vol du bétail</c:v>
                </c:pt>
                <c:pt idx="4">
                  <c:v>mort naturelle</c:v>
                </c:pt>
              </c:strCache>
            </c:strRef>
          </c:cat>
          <c:val>
            <c:numRef>
              <c:f>'wtp bovins2'!$B$9:$F$9</c:f>
              <c:numCache>
                <c:formatCode>0</c:formatCode>
                <c:ptCount val="5"/>
                <c:pt idx="0">
                  <c:v>14.53</c:v>
                </c:pt>
                <c:pt idx="1">
                  <c:v>12.85</c:v>
                </c:pt>
                <c:pt idx="2">
                  <c:v>12.85</c:v>
                </c:pt>
                <c:pt idx="3">
                  <c:v>14.53</c:v>
                </c:pt>
                <c:pt idx="4">
                  <c:v>10.06</c:v>
                </c:pt>
              </c:numCache>
            </c:numRef>
          </c:val>
          <c:extLst xmlns:c16r2="http://schemas.microsoft.com/office/drawing/2015/06/chart">
            <c:ext xmlns:c16="http://schemas.microsoft.com/office/drawing/2014/chart" uri="{C3380CC4-5D6E-409C-BE32-E72D297353CC}">
              <c16:uniqueId val="{00000007-5474-4D2A-97C5-C86E7DF8B868}"/>
            </c:ext>
          </c:extLst>
        </c:ser>
        <c:dLbls>
          <c:showLegendKey val="0"/>
          <c:showVal val="0"/>
          <c:showCatName val="0"/>
          <c:showSerName val="0"/>
          <c:showPercent val="0"/>
          <c:showBubbleSize val="0"/>
        </c:dLbls>
        <c:gapWidth val="219"/>
        <c:overlap val="-27"/>
        <c:axId val="329574192"/>
        <c:axId val="329574584"/>
      </c:barChart>
      <c:catAx>
        <c:axId val="329574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574584"/>
        <c:crosses val="autoZero"/>
        <c:auto val="1"/>
        <c:lblAlgn val="ctr"/>
        <c:lblOffset val="100"/>
        <c:noMultiLvlLbl val="0"/>
      </c:catAx>
      <c:valAx>
        <c:axId val="3295745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574192"/>
        <c:crosses val="autoZero"/>
        <c:crossBetween val="between"/>
      </c:valAx>
      <c:spPr>
        <a:noFill/>
        <a:ln>
          <a:noFill/>
        </a:ln>
        <a:effectLst/>
      </c:spPr>
    </c:plotArea>
    <c:legend>
      <c:legendPos val="b"/>
      <c:layout>
        <c:manualLayout>
          <c:xMode val="edge"/>
          <c:yMode val="edge"/>
          <c:x val="2.3631550366549015E-2"/>
          <c:y val="0.84862657176429279"/>
          <c:w val="0.96135758892207457"/>
          <c:h val="0.1307902378411960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Consentement</a:t>
            </a:r>
            <a:r>
              <a:rPr lang="fr-FR" baseline="0"/>
              <a:t> à payer pour pour assurer une tête d'ovin (en % d'éleveurs)</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'wtp ovins2'!$A$2</c:f>
              <c:strCache>
                <c:ptCount val="1"/>
                <c:pt idx="0">
                  <c:v>rien</c:v>
                </c:pt>
              </c:strCache>
            </c:strRef>
          </c:tx>
          <c:spPr>
            <a:solidFill>
              <a:schemeClr val="accent1"/>
            </a:solidFill>
            <a:ln>
              <a:noFill/>
            </a:ln>
            <a:effectLst/>
          </c:spPr>
          <c:invertIfNegative val="0"/>
          <c:cat>
            <c:strRef>
              <c:f>'wtp ovins2'!$B$1:$F$1</c:f>
              <c:strCache>
                <c:ptCount val="5"/>
                <c:pt idx="0">
                  <c:v>retard des pluies</c:v>
                </c:pt>
                <c:pt idx="1">
                  <c:v>pluies insuffisantes</c:v>
                </c:pt>
                <c:pt idx="2">
                  <c:v>intempéries</c:v>
                </c:pt>
                <c:pt idx="3">
                  <c:v>vol du bétail</c:v>
                </c:pt>
                <c:pt idx="4">
                  <c:v>mort naturelle</c:v>
                </c:pt>
              </c:strCache>
            </c:strRef>
          </c:cat>
          <c:val>
            <c:numRef>
              <c:f>'wtp ovins2'!$B$2:$F$2</c:f>
              <c:numCache>
                <c:formatCode>0</c:formatCode>
                <c:ptCount val="5"/>
                <c:pt idx="0">
                  <c:v>26.24</c:v>
                </c:pt>
                <c:pt idx="1">
                  <c:v>24.71</c:v>
                </c:pt>
                <c:pt idx="2">
                  <c:v>26.62</c:v>
                </c:pt>
                <c:pt idx="3">
                  <c:v>24.33</c:v>
                </c:pt>
                <c:pt idx="4">
                  <c:v>24.33</c:v>
                </c:pt>
              </c:numCache>
            </c:numRef>
          </c:val>
          <c:extLst xmlns:c16r2="http://schemas.microsoft.com/office/drawing/2015/06/chart">
            <c:ext xmlns:c16="http://schemas.microsoft.com/office/drawing/2014/chart" uri="{C3380CC4-5D6E-409C-BE32-E72D297353CC}">
              <c16:uniqueId val="{00000000-5B75-4947-930C-9F810748B177}"/>
            </c:ext>
          </c:extLst>
        </c:ser>
        <c:ser>
          <c:idx val="1"/>
          <c:order val="1"/>
          <c:tx>
            <c:strRef>
              <c:f>'wtp ovins2'!$A$3</c:f>
              <c:strCache>
                <c:ptCount val="1"/>
                <c:pt idx="0">
                  <c:v>500</c:v>
                </c:pt>
              </c:strCache>
            </c:strRef>
          </c:tx>
          <c:spPr>
            <a:solidFill>
              <a:schemeClr val="accent2"/>
            </a:solidFill>
            <a:ln>
              <a:noFill/>
            </a:ln>
            <a:effectLst/>
          </c:spPr>
          <c:invertIfNegative val="0"/>
          <c:cat>
            <c:strRef>
              <c:f>'wtp ovins2'!$B$1:$F$1</c:f>
              <c:strCache>
                <c:ptCount val="5"/>
                <c:pt idx="0">
                  <c:v>retard des pluies</c:v>
                </c:pt>
                <c:pt idx="1">
                  <c:v>pluies insuffisantes</c:v>
                </c:pt>
                <c:pt idx="2">
                  <c:v>intempéries</c:v>
                </c:pt>
                <c:pt idx="3">
                  <c:v>vol du bétail</c:v>
                </c:pt>
                <c:pt idx="4">
                  <c:v>mort naturelle</c:v>
                </c:pt>
              </c:strCache>
            </c:strRef>
          </c:cat>
          <c:val>
            <c:numRef>
              <c:f>'wtp ovins2'!$B$3:$F$3</c:f>
              <c:numCache>
                <c:formatCode>0</c:formatCode>
                <c:ptCount val="5"/>
                <c:pt idx="0">
                  <c:v>36.880000000000003</c:v>
                </c:pt>
                <c:pt idx="1">
                  <c:v>34.979999999999997</c:v>
                </c:pt>
                <c:pt idx="2">
                  <c:v>38.4</c:v>
                </c:pt>
                <c:pt idx="3">
                  <c:v>36.119999999999997</c:v>
                </c:pt>
                <c:pt idx="4">
                  <c:v>39.54</c:v>
                </c:pt>
              </c:numCache>
            </c:numRef>
          </c:val>
          <c:extLst xmlns:c16r2="http://schemas.microsoft.com/office/drawing/2015/06/chart">
            <c:ext xmlns:c16="http://schemas.microsoft.com/office/drawing/2014/chart" uri="{C3380CC4-5D6E-409C-BE32-E72D297353CC}">
              <c16:uniqueId val="{00000001-5B75-4947-930C-9F810748B177}"/>
            </c:ext>
          </c:extLst>
        </c:ser>
        <c:ser>
          <c:idx val="2"/>
          <c:order val="2"/>
          <c:tx>
            <c:strRef>
              <c:f>'wtp ovins2'!$A$4</c:f>
              <c:strCache>
                <c:ptCount val="1"/>
                <c:pt idx="0">
                  <c:v>1000</c:v>
                </c:pt>
              </c:strCache>
            </c:strRef>
          </c:tx>
          <c:spPr>
            <a:solidFill>
              <a:schemeClr val="accent3"/>
            </a:solidFill>
            <a:ln>
              <a:noFill/>
            </a:ln>
            <a:effectLst/>
          </c:spPr>
          <c:invertIfNegative val="0"/>
          <c:cat>
            <c:strRef>
              <c:f>'wtp ovins2'!$B$1:$F$1</c:f>
              <c:strCache>
                <c:ptCount val="5"/>
                <c:pt idx="0">
                  <c:v>retard des pluies</c:v>
                </c:pt>
                <c:pt idx="1">
                  <c:v>pluies insuffisantes</c:v>
                </c:pt>
                <c:pt idx="2">
                  <c:v>intempéries</c:v>
                </c:pt>
                <c:pt idx="3">
                  <c:v>vol du bétail</c:v>
                </c:pt>
                <c:pt idx="4">
                  <c:v>mort naturelle</c:v>
                </c:pt>
              </c:strCache>
            </c:strRef>
          </c:cat>
          <c:val>
            <c:numRef>
              <c:f>'wtp ovins2'!$B$4:$F$4</c:f>
              <c:numCache>
                <c:formatCode>0</c:formatCode>
                <c:ptCount val="5"/>
                <c:pt idx="0">
                  <c:v>21.67</c:v>
                </c:pt>
                <c:pt idx="1">
                  <c:v>22.81</c:v>
                </c:pt>
                <c:pt idx="2">
                  <c:v>23.57</c:v>
                </c:pt>
                <c:pt idx="3">
                  <c:v>22.81</c:v>
                </c:pt>
                <c:pt idx="4">
                  <c:v>22.05</c:v>
                </c:pt>
              </c:numCache>
            </c:numRef>
          </c:val>
          <c:extLst xmlns:c16r2="http://schemas.microsoft.com/office/drawing/2015/06/chart">
            <c:ext xmlns:c16="http://schemas.microsoft.com/office/drawing/2014/chart" uri="{C3380CC4-5D6E-409C-BE32-E72D297353CC}">
              <c16:uniqueId val="{00000002-5B75-4947-930C-9F810748B177}"/>
            </c:ext>
          </c:extLst>
        </c:ser>
        <c:ser>
          <c:idx val="3"/>
          <c:order val="3"/>
          <c:tx>
            <c:strRef>
              <c:f>'wtp ovins2'!$A$5</c:f>
              <c:strCache>
                <c:ptCount val="1"/>
                <c:pt idx="0">
                  <c:v>3000</c:v>
                </c:pt>
              </c:strCache>
            </c:strRef>
          </c:tx>
          <c:spPr>
            <a:solidFill>
              <a:schemeClr val="accent4"/>
            </a:solidFill>
            <a:ln>
              <a:noFill/>
            </a:ln>
            <a:effectLst/>
          </c:spPr>
          <c:invertIfNegative val="0"/>
          <c:cat>
            <c:strRef>
              <c:f>'wtp ovins2'!$B$1:$F$1</c:f>
              <c:strCache>
                <c:ptCount val="5"/>
                <c:pt idx="0">
                  <c:v>retard des pluies</c:v>
                </c:pt>
                <c:pt idx="1">
                  <c:v>pluies insuffisantes</c:v>
                </c:pt>
                <c:pt idx="2">
                  <c:v>intempéries</c:v>
                </c:pt>
                <c:pt idx="3">
                  <c:v>vol du bétail</c:v>
                </c:pt>
                <c:pt idx="4">
                  <c:v>mort naturelle</c:v>
                </c:pt>
              </c:strCache>
            </c:strRef>
          </c:cat>
          <c:val>
            <c:numRef>
              <c:f>'wtp ovins2'!$B$5:$F$5</c:f>
              <c:numCache>
                <c:formatCode>0</c:formatCode>
                <c:ptCount val="5"/>
                <c:pt idx="0">
                  <c:v>9.51</c:v>
                </c:pt>
                <c:pt idx="1">
                  <c:v>11.79</c:v>
                </c:pt>
                <c:pt idx="2">
                  <c:v>8.3699999999999992</c:v>
                </c:pt>
                <c:pt idx="3">
                  <c:v>11.79</c:v>
                </c:pt>
                <c:pt idx="4">
                  <c:v>9.89</c:v>
                </c:pt>
              </c:numCache>
            </c:numRef>
          </c:val>
          <c:extLst xmlns:c16r2="http://schemas.microsoft.com/office/drawing/2015/06/chart">
            <c:ext xmlns:c16="http://schemas.microsoft.com/office/drawing/2014/chart" uri="{C3380CC4-5D6E-409C-BE32-E72D297353CC}">
              <c16:uniqueId val="{00000003-5B75-4947-930C-9F810748B177}"/>
            </c:ext>
          </c:extLst>
        </c:ser>
        <c:ser>
          <c:idx val="4"/>
          <c:order val="4"/>
          <c:tx>
            <c:strRef>
              <c:f>'wtp ovins2'!$A$6</c:f>
              <c:strCache>
                <c:ptCount val="1"/>
                <c:pt idx="0">
                  <c:v>5000</c:v>
                </c:pt>
              </c:strCache>
            </c:strRef>
          </c:tx>
          <c:spPr>
            <a:solidFill>
              <a:schemeClr val="accent5"/>
            </a:solidFill>
            <a:ln>
              <a:noFill/>
            </a:ln>
            <a:effectLst/>
          </c:spPr>
          <c:invertIfNegative val="0"/>
          <c:cat>
            <c:strRef>
              <c:f>'wtp ovins2'!$B$1:$F$1</c:f>
              <c:strCache>
                <c:ptCount val="5"/>
                <c:pt idx="0">
                  <c:v>retard des pluies</c:v>
                </c:pt>
                <c:pt idx="1">
                  <c:v>pluies insuffisantes</c:v>
                </c:pt>
                <c:pt idx="2">
                  <c:v>intempéries</c:v>
                </c:pt>
                <c:pt idx="3">
                  <c:v>vol du bétail</c:v>
                </c:pt>
                <c:pt idx="4">
                  <c:v>mort naturelle</c:v>
                </c:pt>
              </c:strCache>
            </c:strRef>
          </c:cat>
          <c:val>
            <c:numRef>
              <c:f>'wtp ovins2'!$B$6:$F$6</c:f>
              <c:numCache>
                <c:formatCode>0</c:formatCode>
                <c:ptCount val="5"/>
                <c:pt idx="0">
                  <c:v>3.04</c:v>
                </c:pt>
                <c:pt idx="1">
                  <c:v>3.42</c:v>
                </c:pt>
                <c:pt idx="2">
                  <c:v>2.2799999999999998</c:v>
                </c:pt>
                <c:pt idx="3">
                  <c:v>2.66</c:v>
                </c:pt>
                <c:pt idx="4">
                  <c:v>3.04</c:v>
                </c:pt>
              </c:numCache>
            </c:numRef>
          </c:val>
          <c:extLst xmlns:c16r2="http://schemas.microsoft.com/office/drawing/2015/06/chart">
            <c:ext xmlns:c16="http://schemas.microsoft.com/office/drawing/2014/chart" uri="{C3380CC4-5D6E-409C-BE32-E72D297353CC}">
              <c16:uniqueId val="{00000004-5B75-4947-930C-9F810748B177}"/>
            </c:ext>
          </c:extLst>
        </c:ser>
        <c:ser>
          <c:idx val="5"/>
          <c:order val="5"/>
          <c:tx>
            <c:strRef>
              <c:f>'wtp ovins2'!$A$7</c:f>
              <c:strCache>
                <c:ptCount val="1"/>
                <c:pt idx="0">
                  <c:v>7500</c:v>
                </c:pt>
              </c:strCache>
            </c:strRef>
          </c:tx>
          <c:spPr>
            <a:solidFill>
              <a:schemeClr val="accent6"/>
            </a:solidFill>
            <a:ln>
              <a:noFill/>
            </a:ln>
            <a:effectLst/>
          </c:spPr>
          <c:invertIfNegative val="0"/>
          <c:cat>
            <c:strRef>
              <c:f>'wtp ovins2'!$B$1:$F$1</c:f>
              <c:strCache>
                <c:ptCount val="5"/>
                <c:pt idx="0">
                  <c:v>retard des pluies</c:v>
                </c:pt>
                <c:pt idx="1">
                  <c:v>pluies insuffisantes</c:v>
                </c:pt>
                <c:pt idx="2">
                  <c:v>intempéries</c:v>
                </c:pt>
                <c:pt idx="3">
                  <c:v>vol du bétail</c:v>
                </c:pt>
                <c:pt idx="4">
                  <c:v>mort naturelle</c:v>
                </c:pt>
              </c:strCache>
            </c:strRef>
          </c:cat>
          <c:val>
            <c:numRef>
              <c:f>'wtp ovins2'!$B$7:$F$7</c:f>
              <c:numCache>
                <c:formatCode>0</c:formatCode>
                <c:ptCount val="5"/>
                <c:pt idx="0">
                  <c:v>0</c:v>
                </c:pt>
                <c:pt idx="1">
                  <c:v>0.38</c:v>
                </c:pt>
                <c:pt idx="2">
                  <c:v>0</c:v>
                </c:pt>
                <c:pt idx="3">
                  <c:v>0.76</c:v>
                </c:pt>
                <c:pt idx="4">
                  <c:v>0.38</c:v>
                </c:pt>
              </c:numCache>
            </c:numRef>
          </c:val>
          <c:extLst xmlns:c16r2="http://schemas.microsoft.com/office/drawing/2015/06/chart">
            <c:ext xmlns:c16="http://schemas.microsoft.com/office/drawing/2014/chart" uri="{C3380CC4-5D6E-409C-BE32-E72D297353CC}">
              <c16:uniqueId val="{00000005-5B75-4947-930C-9F810748B177}"/>
            </c:ext>
          </c:extLst>
        </c:ser>
        <c:ser>
          <c:idx val="6"/>
          <c:order val="6"/>
          <c:tx>
            <c:strRef>
              <c:f>'wtp ovins2'!$A$8</c:f>
              <c:strCache>
                <c:ptCount val="1"/>
                <c:pt idx="0">
                  <c:v>10000</c:v>
                </c:pt>
              </c:strCache>
            </c:strRef>
          </c:tx>
          <c:spPr>
            <a:solidFill>
              <a:schemeClr val="accent1">
                <a:lumMod val="60000"/>
              </a:schemeClr>
            </a:solidFill>
            <a:ln>
              <a:noFill/>
            </a:ln>
            <a:effectLst/>
          </c:spPr>
          <c:invertIfNegative val="0"/>
          <c:cat>
            <c:strRef>
              <c:f>'wtp ovins2'!$B$1:$F$1</c:f>
              <c:strCache>
                <c:ptCount val="5"/>
                <c:pt idx="0">
                  <c:v>retard des pluies</c:v>
                </c:pt>
                <c:pt idx="1">
                  <c:v>pluies insuffisantes</c:v>
                </c:pt>
                <c:pt idx="2">
                  <c:v>intempéries</c:v>
                </c:pt>
                <c:pt idx="3">
                  <c:v>vol du bétail</c:v>
                </c:pt>
                <c:pt idx="4">
                  <c:v>mort naturelle</c:v>
                </c:pt>
              </c:strCache>
            </c:strRef>
          </c:cat>
          <c:val>
            <c:numRef>
              <c:f>'wtp ovins2'!$B$8:$F$8</c:f>
              <c:numCache>
                <c:formatCode>0</c:formatCode>
                <c:ptCount val="5"/>
                <c:pt idx="0">
                  <c:v>2.66</c:v>
                </c:pt>
                <c:pt idx="1">
                  <c:v>1.9</c:v>
                </c:pt>
                <c:pt idx="2">
                  <c:v>0.76</c:v>
                </c:pt>
                <c:pt idx="3">
                  <c:v>1.1399999999999999</c:v>
                </c:pt>
                <c:pt idx="4">
                  <c:v>0.76</c:v>
                </c:pt>
              </c:numCache>
            </c:numRef>
          </c:val>
          <c:extLst xmlns:c16r2="http://schemas.microsoft.com/office/drawing/2015/06/chart">
            <c:ext xmlns:c16="http://schemas.microsoft.com/office/drawing/2014/chart" uri="{C3380CC4-5D6E-409C-BE32-E72D297353CC}">
              <c16:uniqueId val="{00000006-5B75-4947-930C-9F810748B177}"/>
            </c:ext>
          </c:extLst>
        </c:ser>
        <c:ser>
          <c:idx val="7"/>
          <c:order val="7"/>
          <c:tx>
            <c:strRef>
              <c:f>'wtp ovins2'!$A$9</c:f>
              <c:strCache>
                <c:ptCount val="1"/>
                <c:pt idx="0">
                  <c:v>plus de 10000</c:v>
                </c:pt>
              </c:strCache>
            </c:strRef>
          </c:tx>
          <c:spPr>
            <a:solidFill>
              <a:schemeClr val="accent2">
                <a:lumMod val="60000"/>
              </a:schemeClr>
            </a:solidFill>
            <a:ln>
              <a:noFill/>
            </a:ln>
            <a:effectLst/>
          </c:spPr>
          <c:invertIfNegative val="0"/>
          <c:cat>
            <c:strRef>
              <c:f>'wtp ovins2'!$B$1:$F$1</c:f>
              <c:strCache>
                <c:ptCount val="5"/>
                <c:pt idx="0">
                  <c:v>retard des pluies</c:v>
                </c:pt>
                <c:pt idx="1">
                  <c:v>pluies insuffisantes</c:v>
                </c:pt>
                <c:pt idx="2">
                  <c:v>intempéries</c:v>
                </c:pt>
                <c:pt idx="3">
                  <c:v>vol du bétail</c:v>
                </c:pt>
                <c:pt idx="4">
                  <c:v>mort naturelle</c:v>
                </c:pt>
              </c:strCache>
            </c:strRef>
          </c:cat>
          <c:val>
            <c:numRef>
              <c:f>'wtp ovins2'!$B$9:$F$9</c:f>
              <c:numCache>
                <c:formatCode>0</c:formatCode>
                <c:ptCount val="5"/>
                <c:pt idx="0">
                  <c:v>0</c:v>
                </c:pt>
                <c:pt idx="1">
                  <c:v>0.4</c:v>
                </c:pt>
                <c:pt idx="2">
                  <c:v>0</c:v>
                </c:pt>
                <c:pt idx="3">
                  <c:v>0.38</c:v>
                </c:pt>
                <c:pt idx="4">
                  <c:v>0</c:v>
                </c:pt>
              </c:numCache>
            </c:numRef>
          </c:val>
          <c:extLst xmlns:c16r2="http://schemas.microsoft.com/office/drawing/2015/06/chart">
            <c:ext xmlns:c16="http://schemas.microsoft.com/office/drawing/2014/chart" uri="{C3380CC4-5D6E-409C-BE32-E72D297353CC}">
              <c16:uniqueId val="{00000007-5B75-4947-930C-9F810748B177}"/>
            </c:ext>
          </c:extLst>
        </c:ser>
        <c:dLbls>
          <c:showLegendKey val="0"/>
          <c:showVal val="0"/>
          <c:showCatName val="0"/>
          <c:showSerName val="0"/>
          <c:showPercent val="0"/>
          <c:showBubbleSize val="0"/>
        </c:dLbls>
        <c:gapWidth val="219"/>
        <c:overlap val="-27"/>
        <c:axId val="329575368"/>
        <c:axId val="329575760"/>
      </c:barChart>
      <c:catAx>
        <c:axId val="329575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575760"/>
        <c:crosses val="autoZero"/>
        <c:auto val="1"/>
        <c:lblAlgn val="ctr"/>
        <c:lblOffset val="100"/>
        <c:noMultiLvlLbl val="0"/>
      </c:catAx>
      <c:valAx>
        <c:axId val="3295757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29575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Consentement</a:t>
            </a:r>
            <a:r>
              <a:rPr lang="fr-FR" baseline="0"/>
              <a:t> à payer pour assurer les 5 plus importantes têtes d'ovins</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'wtp ovins2'!$A$14</c:f>
              <c:strCache>
                <c:ptCount val="1"/>
                <c:pt idx="0">
                  <c:v>rien</c:v>
                </c:pt>
              </c:strCache>
            </c:strRef>
          </c:tx>
          <c:spPr>
            <a:solidFill>
              <a:schemeClr val="accent1"/>
            </a:solidFill>
            <a:ln>
              <a:noFill/>
            </a:ln>
            <a:effectLst/>
          </c:spPr>
          <c:invertIfNegative val="0"/>
          <c:cat>
            <c:strRef>
              <c:f>'wtp ovins2'!$B$13:$F$13</c:f>
              <c:strCache>
                <c:ptCount val="5"/>
                <c:pt idx="0">
                  <c:v>retard des pluies</c:v>
                </c:pt>
                <c:pt idx="1">
                  <c:v>pluies insuffisantes</c:v>
                </c:pt>
                <c:pt idx="2">
                  <c:v>intempéries</c:v>
                </c:pt>
                <c:pt idx="3">
                  <c:v>vol du bétail</c:v>
                </c:pt>
                <c:pt idx="4">
                  <c:v>mort naturelle</c:v>
                </c:pt>
              </c:strCache>
            </c:strRef>
          </c:cat>
          <c:val>
            <c:numRef>
              <c:f>'wtp ovins2'!$B$14:$F$14</c:f>
              <c:numCache>
                <c:formatCode>0</c:formatCode>
                <c:ptCount val="5"/>
                <c:pt idx="0">
                  <c:v>15.97</c:v>
                </c:pt>
                <c:pt idx="1">
                  <c:v>14.45</c:v>
                </c:pt>
                <c:pt idx="2">
                  <c:v>17.489999999999998</c:v>
                </c:pt>
                <c:pt idx="3">
                  <c:v>15.21</c:v>
                </c:pt>
                <c:pt idx="4">
                  <c:v>14.45</c:v>
                </c:pt>
              </c:numCache>
            </c:numRef>
          </c:val>
          <c:extLst xmlns:c16r2="http://schemas.microsoft.com/office/drawing/2015/06/chart">
            <c:ext xmlns:c16="http://schemas.microsoft.com/office/drawing/2014/chart" uri="{C3380CC4-5D6E-409C-BE32-E72D297353CC}">
              <c16:uniqueId val="{00000000-A539-4DE0-AEA1-218C3E2A5F03}"/>
            </c:ext>
          </c:extLst>
        </c:ser>
        <c:ser>
          <c:idx val="1"/>
          <c:order val="1"/>
          <c:tx>
            <c:strRef>
              <c:f>'wtp ovins2'!$A$15</c:f>
              <c:strCache>
                <c:ptCount val="1"/>
                <c:pt idx="0">
                  <c:v>500</c:v>
                </c:pt>
              </c:strCache>
            </c:strRef>
          </c:tx>
          <c:spPr>
            <a:solidFill>
              <a:schemeClr val="accent2"/>
            </a:solidFill>
            <a:ln>
              <a:noFill/>
            </a:ln>
            <a:effectLst/>
          </c:spPr>
          <c:invertIfNegative val="0"/>
          <c:cat>
            <c:strRef>
              <c:f>'wtp ovins2'!$B$13:$F$13</c:f>
              <c:strCache>
                <c:ptCount val="5"/>
                <c:pt idx="0">
                  <c:v>retard des pluies</c:v>
                </c:pt>
                <c:pt idx="1">
                  <c:v>pluies insuffisantes</c:v>
                </c:pt>
                <c:pt idx="2">
                  <c:v>intempéries</c:v>
                </c:pt>
                <c:pt idx="3">
                  <c:v>vol du bétail</c:v>
                </c:pt>
                <c:pt idx="4">
                  <c:v>mort naturelle</c:v>
                </c:pt>
              </c:strCache>
            </c:strRef>
          </c:cat>
          <c:val>
            <c:numRef>
              <c:f>'wtp ovins2'!$B$15:$F$15</c:f>
              <c:numCache>
                <c:formatCode>0</c:formatCode>
                <c:ptCount val="5"/>
                <c:pt idx="0">
                  <c:v>13.69</c:v>
                </c:pt>
                <c:pt idx="1">
                  <c:v>14.07</c:v>
                </c:pt>
                <c:pt idx="2">
                  <c:v>15.21</c:v>
                </c:pt>
                <c:pt idx="3">
                  <c:v>14.07</c:v>
                </c:pt>
                <c:pt idx="4">
                  <c:v>13.31</c:v>
                </c:pt>
              </c:numCache>
            </c:numRef>
          </c:val>
          <c:extLst xmlns:c16r2="http://schemas.microsoft.com/office/drawing/2015/06/chart">
            <c:ext xmlns:c16="http://schemas.microsoft.com/office/drawing/2014/chart" uri="{C3380CC4-5D6E-409C-BE32-E72D297353CC}">
              <c16:uniqueId val="{00000001-A539-4DE0-AEA1-218C3E2A5F03}"/>
            </c:ext>
          </c:extLst>
        </c:ser>
        <c:ser>
          <c:idx val="2"/>
          <c:order val="2"/>
          <c:tx>
            <c:strRef>
              <c:f>'wtp ovins2'!$A$16</c:f>
              <c:strCache>
                <c:ptCount val="1"/>
                <c:pt idx="0">
                  <c:v>1000</c:v>
                </c:pt>
              </c:strCache>
            </c:strRef>
          </c:tx>
          <c:spPr>
            <a:solidFill>
              <a:schemeClr val="accent3"/>
            </a:solidFill>
            <a:ln>
              <a:noFill/>
            </a:ln>
            <a:effectLst/>
          </c:spPr>
          <c:invertIfNegative val="0"/>
          <c:cat>
            <c:strRef>
              <c:f>'wtp ovins2'!$B$13:$F$13</c:f>
              <c:strCache>
                <c:ptCount val="5"/>
                <c:pt idx="0">
                  <c:v>retard des pluies</c:v>
                </c:pt>
                <c:pt idx="1">
                  <c:v>pluies insuffisantes</c:v>
                </c:pt>
                <c:pt idx="2">
                  <c:v>intempéries</c:v>
                </c:pt>
                <c:pt idx="3">
                  <c:v>vol du bétail</c:v>
                </c:pt>
                <c:pt idx="4">
                  <c:v>mort naturelle</c:v>
                </c:pt>
              </c:strCache>
            </c:strRef>
          </c:cat>
          <c:val>
            <c:numRef>
              <c:f>'wtp ovins2'!$B$16:$F$16</c:f>
              <c:numCache>
                <c:formatCode>0</c:formatCode>
                <c:ptCount val="5"/>
                <c:pt idx="0">
                  <c:v>15.21</c:v>
                </c:pt>
                <c:pt idx="1">
                  <c:v>14.45</c:v>
                </c:pt>
                <c:pt idx="2">
                  <c:v>14.07</c:v>
                </c:pt>
                <c:pt idx="3">
                  <c:v>19.010000000000002</c:v>
                </c:pt>
                <c:pt idx="4">
                  <c:v>22.05</c:v>
                </c:pt>
              </c:numCache>
            </c:numRef>
          </c:val>
          <c:extLst xmlns:c16r2="http://schemas.microsoft.com/office/drawing/2015/06/chart">
            <c:ext xmlns:c16="http://schemas.microsoft.com/office/drawing/2014/chart" uri="{C3380CC4-5D6E-409C-BE32-E72D297353CC}">
              <c16:uniqueId val="{00000002-A539-4DE0-AEA1-218C3E2A5F03}"/>
            </c:ext>
          </c:extLst>
        </c:ser>
        <c:ser>
          <c:idx val="3"/>
          <c:order val="3"/>
          <c:tx>
            <c:strRef>
              <c:f>'wtp ovins2'!$A$17</c:f>
              <c:strCache>
                <c:ptCount val="1"/>
                <c:pt idx="0">
                  <c:v>3000</c:v>
                </c:pt>
              </c:strCache>
            </c:strRef>
          </c:tx>
          <c:spPr>
            <a:solidFill>
              <a:schemeClr val="accent4"/>
            </a:solidFill>
            <a:ln>
              <a:noFill/>
            </a:ln>
            <a:effectLst/>
          </c:spPr>
          <c:invertIfNegative val="0"/>
          <c:cat>
            <c:strRef>
              <c:f>'wtp ovins2'!$B$13:$F$13</c:f>
              <c:strCache>
                <c:ptCount val="5"/>
                <c:pt idx="0">
                  <c:v>retard des pluies</c:v>
                </c:pt>
                <c:pt idx="1">
                  <c:v>pluies insuffisantes</c:v>
                </c:pt>
                <c:pt idx="2">
                  <c:v>intempéries</c:v>
                </c:pt>
                <c:pt idx="3">
                  <c:v>vol du bétail</c:v>
                </c:pt>
                <c:pt idx="4">
                  <c:v>mort naturelle</c:v>
                </c:pt>
              </c:strCache>
            </c:strRef>
          </c:cat>
          <c:val>
            <c:numRef>
              <c:f>'wtp ovins2'!$B$17:$F$17</c:f>
              <c:numCache>
                <c:formatCode>0</c:formatCode>
                <c:ptCount val="5"/>
                <c:pt idx="0">
                  <c:v>24.71</c:v>
                </c:pt>
                <c:pt idx="1">
                  <c:v>23.95</c:v>
                </c:pt>
                <c:pt idx="2">
                  <c:v>28.52</c:v>
                </c:pt>
                <c:pt idx="3">
                  <c:v>22.43</c:v>
                </c:pt>
                <c:pt idx="4">
                  <c:v>26.24</c:v>
                </c:pt>
              </c:numCache>
            </c:numRef>
          </c:val>
          <c:extLst xmlns:c16r2="http://schemas.microsoft.com/office/drawing/2015/06/chart">
            <c:ext xmlns:c16="http://schemas.microsoft.com/office/drawing/2014/chart" uri="{C3380CC4-5D6E-409C-BE32-E72D297353CC}">
              <c16:uniqueId val="{00000003-A539-4DE0-AEA1-218C3E2A5F03}"/>
            </c:ext>
          </c:extLst>
        </c:ser>
        <c:ser>
          <c:idx val="4"/>
          <c:order val="4"/>
          <c:tx>
            <c:strRef>
              <c:f>'wtp ovins2'!$A$18</c:f>
              <c:strCache>
                <c:ptCount val="1"/>
                <c:pt idx="0">
                  <c:v>5000</c:v>
                </c:pt>
              </c:strCache>
            </c:strRef>
          </c:tx>
          <c:spPr>
            <a:solidFill>
              <a:schemeClr val="accent5"/>
            </a:solidFill>
            <a:ln>
              <a:noFill/>
            </a:ln>
            <a:effectLst/>
          </c:spPr>
          <c:invertIfNegative val="0"/>
          <c:cat>
            <c:strRef>
              <c:f>'wtp ovins2'!$B$13:$F$13</c:f>
              <c:strCache>
                <c:ptCount val="5"/>
                <c:pt idx="0">
                  <c:v>retard des pluies</c:v>
                </c:pt>
                <c:pt idx="1">
                  <c:v>pluies insuffisantes</c:v>
                </c:pt>
                <c:pt idx="2">
                  <c:v>intempéries</c:v>
                </c:pt>
                <c:pt idx="3">
                  <c:v>vol du bétail</c:v>
                </c:pt>
                <c:pt idx="4">
                  <c:v>mort naturelle</c:v>
                </c:pt>
              </c:strCache>
            </c:strRef>
          </c:cat>
          <c:val>
            <c:numRef>
              <c:f>'wtp ovins2'!$B$18:$F$18</c:f>
              <c:numCache>
                <c:formatCode>0</c:formatCode>
                <c:ptCount val="5"/>
                <c:pt idx="0">
                  <c:v>12.93</c:v>
                </c:pt>
                <c:pt idx="1">
                  <c:v>14.83</c:v>
                </c:pt>
                <c:pt idx="2">
                  <c:v>14.07</c:v>
                </c:pt>
                <c:pt idx="3">
                  <c:v>15.59</c:v>
                </c:pt>
                <c:pt idx="4">
                  <c:v>12.17</c:v>
                </c:pt>
              </c:numCache>
            </c:numRef>
          </c:val>
          <c:extLst xmlns:c16r2="http://schemas.microsoft.com/office/drawing/2015/06/chart">
            <c:ext xmlns:c16="http://schemas.microsoft.com/office/drawing/2014/chart" uri="{C3380CC4-5D6E-409C-BE32-E72D297353CC}">
              <c16:uniqueId val="{00000004-A539-4DE0-AEA1-218C3E2A5F03}"/>
            </c:ext>
          </c:extLst>
        </c:ser>
        <c:ser>
          <c:idx val="5"/>
          <c:order val="5"/>
          <c:tx>
            <c:strRef>
              <c:f>'wtp ovins2'!$A$19</c:f>
              <c:strCache>
                <c:ptCount val="1"/>
                <c:pt idx="0">
                  <c:v>7500</c:v>
                </c:pt>
              </c:strCache>
            </c:strRef>
          </c:tx>
          <c:spPr>
            <a:solidFill>
              <a:schemeClr val="accent6"/>
            </a:solidFill>
            <a:ln>
              <a:noFill/>
            </a:ln>
            <a:effectLst/>
          </c:spPr>
          <c:invertIfNegative val="0"/>
          <c:cat>
            <c:strRef>
              <c:f>'wtp ovins2'!$B$13:$F$13</c:f>
              <c:strCache>
                <c:ptCount val="5"/>
                <c:pt idx="0">
                  <c:v>retard des pluies</c:v>
                </c:pt>
                <c:pt idx="1">
                  <c:v>pluies insuffisantes</c:v>
                </c:pt>
                <c:pt idx="2">
                  <c:v>intempéries</c:v>
                </c:pt>
                <c:pt idx="3">
                  <c:v>vol du bétail</c:v>
                </c:pt>
                <c:pt idx="4">
                  <c:v>mort naturelle</c:v>
                </c:pt>
              </c:strCache>
            </c:strRef>
          </c:cat>
          <c:val>
            <c:numRef>
              <c:f>'wtp ovins2'!$B$19:$F$19</c:f>
              <c:numCache>
                <c:formatCode>0</c:formatCode>
                <c:ptCount val="5"/>
                <c:pt idx="0">
                  <c:v>4.5599999999999996</c:v>
                </c:pt>
                <c:pt idx="1">
                  <c:v>4.9400000000000004</c:v>
                </c:pt>
                <c:pt idx="2">
                  <c:v>4.18</c:v>
                </c:pt>
                <c:pt idx="3">
                  <c:v>2.2799999999999998</c:v>
                </c:pt>
                <c:pt idx="4">
                  <c:v>2.66</c:v>
                </c:pt>
              </c:numCache>
            </c:numRef>
          </c:val>
          <c:extLst xmlns:c16r2="http://schemas.microsoft.com/office/drawing/2015/06/chart">
            <c:ext xmlns:c16="http://schemas.microsoft.com/office/drawing/2014/chart" uri="{C3380CC4-5D6E-409C-BE32-E72D297353CC}">
              <c16:uniqueId val="{00000005-A539-4DE0-AEA1-218C3E2A5F03}"/>
            </c:ext>
          </c:extLst>
        </c:ser>
        <c:ser>
          <c:idx val="6"/>
          <c:order val="6"/>
          <c:tx>
            <c:strRef>
              <c:f>'wtp ovins2'!$A$20</c:f>
              <c:strCache>
                <c:ptCount val="1"/>
                <c:pt idx="0">
                  <c:v>10000</c:v>
                </c:pt>
              </c:strCache>
            </c:strRef>
          </c:tx>
          <c:spPr>
            <a:solidFill>
              <a:schemeClr val="accent1">
                <a:lumMod val="60000"/>
              </a:schemeClr>
            </a:solidFill>
            <a:ln>
              <a:noFill/>
            </a:ln>
            <a:effectLst/>
          </c:spPr>
          <c:invertIfNegative val="0"/>
          <c:cat>
            <c:strRef>
              <c:f>'wtp ovins2'!$B$13:$F$13</c:f>
              <c:strCache>
                <c:ptCount val="5"/>
                <c:pt idx="0">
                  <c:v>retard des pluies</c:v>
                </c:pt>
                <c:pt idx="1">
                  <c:v>pluies insuffisantes</c:v>
                </c:pt>
                <c:pt idx="2">
                  <c:v>intempéries</c:v>
                </c:pt>
                <c:pt idx="3">
                  <c:v>vol du bétail</c:v>
                </c:pt>
                <c:pt idx="4">
                  <c:v>mort naturelle</c:v>
                </c:pt>
              </c:strCache>
            </c:strRef>
          </c:cat>
          <c:val>
            <c:numRef>
              <c:f>'wtp ovins2'!$B$20:$F$20</c:f>
              <c:numCache>
                <c:formatCode>0</c:formatCode>
                <c:ptCount val="5"/>
                <c:pt idx="0">
                  <c:v>6.46</c:v>
                </c:pt>
                <c:pt idx="1">
                  <c:v>7.22</c:v>
                </c:pt>
                <c:pt idx="2">
                  <c:v>1.9</c:v>
                </c:pt>
                <c:pt idx="3">
                  <c:v>6.84</c:v>
                </c:pt>
                <c:pt idx="4">
                  <c:v>5.32</c:v>
                </c:pt>
              </c:numCache>
            </c:numRef>
          </c:val>
          <c:extLst xmlns:c16r2="http://schemas.microsoft.com/office/drawing/2015/06/chart">
            <c:ext xmlns:c16="http://schemas.microsoft.com/office/drawing/2014/chart" uri="{C3380CC4-5D6E-409C-BE32-E72D297353CC}">
              <c16:uniqueId val="{00000006-A539-4DE0-AEA1-218C3E2A5F03}"/>
            </c:ext>
          </c:extLst>
        </c:ser>
        <c:ser>
          <c:idx val="7"/>
          <c:order val="7"/>
          <c:tx>
            <c:strRef>
              <c:f>'wtp ovins2'!$A$21</c:f>
              <c:strCache>
                <c:ptCount val="1"/>
                <c:pt idx="0">
                  <c:v>plus de 10000</c:v>
                </c:pt>
              </c:strCache>
            </c:strRef>
          </c:tx>
          <c:spPr>
            <a:solidFill>
              <a:schemeClr val="accent2">
                <a:lumMod val="60000"/>
              </a:schemeClr>
            </a:solidFill>
            <a:ln>
              <a:noFill/>
            </a:ln>
            <a:effectLst/>
          </c:spPr>
          <c:invertIfNegative val="0"/>
          <c:cat>
            <c:strRef>
              <c:f>'wtp ovins2'!$B$13:$F$13</c:f>
              <c:strCache>
                <c:ptCount val="5"/>
                <c:pt idx="0">
                  <c:v>retard des pluies</c:v>
                </c:pt>
                <c:pt idx="1">
                  <c:v>pluies insuffisantes</c:v>
                </c:pt>
                <c:pt idx="2">
                  <c:v>intempéries</c:v>
                </c:pt>
                <c:pt idx="3">
                  <c:v>vol du bétail</c:v>
                </c:pt>
                <c:pt idx="4">
                  <c:v>mort naturelle</c:v>
                </c:pt>
              </c:strCache>
            </c:strRef>
          </c:cat>
          <c:val>
            <c:numRef>
              <c:f>'wtp ovins2'!$B$21:$F$21</c:f>
              <c:numCache>
                <c:formatCode>0</c:formatCode>
                <c:ptCount val="5"/>
                <c:pt idx="0">
                  <c:v>6.46</c:v>
                </c:pt>
                <c:pt idx="1">
                  <c:v>6.08</c:v>
                </c:pt>
                <c:pt idx="2">
                  <c:v>4.5599999999999996</c:v>
                </c:pt>
                <c:pt idx="3">
                  <c:v>4.5599999999999996</c:v>
                </c:pt>
                <c:pt idx="4">
                  <c:v>3.8</c:v>
                </c:pt>
              </c:numCache>
            </c:numRef>
          </c:val>
          <c:extLst xmlns:c16r2="http://schemas.microsoft.com/office/drawing/2015/06/chart">
            <c:ext xmlns:c16="http://schemas.microsoft.com/office/drawing/2014/chart" uri="{C3380CC4-5D6E-409C-BE32-E72D297353CC}">
              <c16:uniqueId val="{00000007-A539-4DE0-AEA1-218C3E2A5F03}"/>
            </c:ext>
          </c:extLst>
        </c:ser>
        <c:dLbls>
          <c:showLegendKey val="0"/>
          <c:showVal val="0"/>
          <c:showCatName val="0"/>
          <c:showSerName val="0"/>
          <c:showPercent val="0"/>
          <c:showBubbleSize val="0"/>
        </c:dLbls>
        <c:gapWidth val="219"/>
        <c:overlap val="-27"/>
        <c:axId val="382337528"/>
        <c:axId val="382337920"/>
      </c:barChart>
      <c:catAx>
        <c:axId val="382337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82337920"/>
        <c:crosses val="autoZero"/>
        <c:auto val="1"/>
        <c:lblAlgn val="ctr"/>
        <c:lblOffset val="100"/>
        <c:noMultiLvlLbl val="0"/>
      </c:catAx>
      <c:valAx>
        <c:axId val="3823379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82337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400" b="0" i="0" u="none" strike="noStrike" baseline="0">
                <a:effectLst/>
              </a:rPr>
              <a:t>Consentement à payer pour assurer tout le troupeau d'ovins (en % d'éleveurs)</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'wtp ovins2'!$A$24</c:f>
              <c:strCache>
                <c:ptCount val="1"/>
                <c:pt idx="0">
                  <c:v>rien</c:v>
                </c:pt>
              </c:strCache>
            </c:strRef>
          </c:tx>
          <c:spPr>
            <a:solidFill>
              <a:schemeClr val="accent1"/>
            </a:solidFill>
            <a:ln>
              <a:noFill/>
            </a:ln>
            <a:effectLst/>
          </c:spPr>
          <c:invertIfNegative val="0"/>
          <c:cat>
            <c:strRef>
              <c:f>'wtp ovins2'!$B$23:$F$23</c:f>
              <c:strCache>
                <c:ptCount val="5"/>
                <c:pt idx="0">
                  <c:v>retard des pluies</c:v>
                </c:pt>
                <c:pt idx="1">
                  <c:v>pluies insuffisantes</c:v>
                </c:pt>
                <c:pt idx="2">
                  <c:v>intempéries</c:v>
                </c:pt>
                <c:pt idx="3">
                  <c:v>vol du bétail</c:v>
                </c:pt>
                <c:pt idx="4">
                  <c:v>mort naturelle</c:v>
                </c:pt>
              </c:strCache>
            </c:strRef>
          </c:cat>
          <c:val>
            <c:numRef>
              <c:f>'wtp ovins2'!$B$24:$F$24</c:f>
              <c:numCache>
                <c:formatCode>0</c:formatCode>
                <c:ptCount val="5"/>
                <c:pt idx="0">
                  <c:v>13.31</c:v>
                </c:pt>
                <c:pt idx="1">
                  <c:v>12.17</c:v>
                </c:pt>
                <c:pt idx="2">
                  <c:v>15.21</c:v>
                </c:pt>
                <c:pt idx="3">
                  <c:v>13.69</c:v>
                </c:pt>
                <c:pt idx="4">
                  <c:v>13.31</c:v>
                </c:pt>
              </c:numCache>
            </c:numRef>
          </c:val>
          <c:extLst xmlns:c16r2="http://schemas.microsoft.com/office/drawing/2015/06/chart">
            <c:ext xmlns:c16="http://schemas.microsoft.com/office/drawing/2014/chart" uri="{C3380CC4-5D6E-409C-BE32-E72D297353CC}">
              <c16:uniqueId val="{00000000-4207-4D44-95DA-7C9CAF16DBBF}"/>
            </c:ext>
          </c:extLst>
        </c:ser>
        <c:ser>
          <c:idx val="1"/>
          <c:order val="1"/>
          <c:tx>
            <c:strRef>
              <c:f>'wtp ovins2'!$A$25</c:f>
              <c:strCache>
                <c:ptCount val="1"/>
                <c:pt idx="0">
                  <c:v>500</c:v>
                </c:pt>
              </c:strCache>
            </c:strRef>
          </c:tx>
          <c:spPr>
            <a:solidFill>
              <a:schemeClr val="accent2"/>
            </a:solidFill>
            <a:ln>
              <a:noFill/>
            </a:ln>
            <a:effectLst/>
          </c:spPr>
          <c:invertIfNegative val="0"/>
          <c:cat>
            <c:strRef>
              <c:f>'wtp ovins2'!$B$23:$F$23</c:f>
              <c:strCache>
                <c:ptCount val="5"/>
                <c:pt idx="0">
                  <c:v>retard des pluies</c:v>
                </c:pt>
                <c:pt idx="1">
                  <c:v>pluies insuffisantes</c:v>
                </c:pt>
                <c:pt idx="2">
                  <c:v>intempéries</c:v>
                </c:pt>
                <c:pt idx="3">
                  <c:v>vol du bétail</c:v>
                </c:pt>
                <c:pt idx="4">
                  <c:v>mort naturelle</c:v>
                </c:pt>
              </c:strCache>
            </c:strRef>
          </c:cat>
          <c:val>
            <c:numRef>
              <c:f>'wtp ovins2'!$B$25:$F$25</c:f>
              <c:numCache>
                <c:formatCode>0</c:formatCode>
                <c:ptCount val="5"/>
                <c:pt idx="0">
                  <c:v>4.18</c:v>
                </c:pt>
                <c:pt idx="1">
                  <c:v>4.5599999999999996</c:v>
                </c:pt>
                <c:pt idx="2">
                  <c:v>5.7</c:v>
                </c:pt>
                <c:pt idx="3">
                  <c:v>5.32</c:v>
                </c:pt>
                <c:pt idx="4">
                  <c:v>5.32</c:v>
                </c:pt>
              </c:numCache>
            </c:numRef>
          </c:val>
          <c:extLst xmlns:c16r2="http://schemas.microsoft.com/office/drawing/2015/06/chart">
            <c:ext xmlns:c16="http://schemas.microsoft.com/office/drawing/2014/chart" uri="{C3380CC4-5D6E-409C-BE32-E72D297353CC}">
              <c16:uniqueId val="{00000001-4207-4D44-95DA-7C9CAF16DBBF}"/>
            </c:ext>
          </c:extLst>
        </c:ser>
        <c:ser>
          <c:idx val="2"/>
          <c:order val="2"/>
          <c:tx>
            <c:strRef>
              <c:f>'wtp ovins2'!$A$26</c:f>
              <c:strCache>
                <c:ptCount val="1"/>
                <c:pt idx="0">
                  <c:v>1000</c:v>
                </c:pt>
              </c:strCache>
            </c:strRef>
          </c:tx>
          <c:spPr>
            <a:solidFill>
              <a:schemeClr val="accent3"/>
            </a:solidFill>
            <a:ln>
              <a:noFill/>
            </a:ln>
            <a:effectLst/>
          </c:spPr>
          <c:invertIfNegative val="0"/>
          <c:cat>
            <c:strRef>
              <c:f>'wtp ovins2'!$B$23:$F$23</c:f>
              <c:strCache>
                <c:ptCount val="5"/>
                <c:pt idx="0">
                  <c:v>retard des pluies</c:v>
                </c:pt>
                <c:pt idx="1">
                  <c:v>pluies insuffisantes</c:v>
                </c:pt>
                <c:pt idx="2">
                  <c:v>intempéries</c:v>
                </c:pt>
                <c:pt idx="3">
                  <c:v>vol du bétail</c:v>
                </c:pt>
                <c:pt idx="4">
                  <c:v>mort naturelle</c:v>
                </c:pt>
              </c:strCache>
            </c:strRef>
          </c:cat>
          <c:val>
            <c:numRef>
              <c:f>'wtp ovins2'!$B$26:$F$26</c:f>
              <c:numCache>
                <c:formatCode>0</c:formatCode>
                <c:ptCount val="5"/>
                <c:pt idx="0">
                  <c:v>9.89</c:v>
                </c:pt>
                <c:pt idx="1">
                  <c:v>10.65</c:v>
                </c:pt>
                <c:pt idx="2">
                  <c:v>12.55</c:v>
                </c:pt>
                <c:pt idx="3">
                  <c:v>11.03</c:v>
                </c:pt>
                <c:pt idx="4">
                  <c:v>13.31</c:v>
                </c:pt>
              </c:numCache>
            </c:numRef>
          </c:val>
          <c:extLst xmlns:c16r2="http://schemas.microsoft.com/office/drawing/2015/06/chart">
            <c:ext xmlns:c16="http://schemas.microsoft.com/office/drawing/2014/chart" uri="{C3380CC4-5D6E-409C-BE32-E72D297353CC}">
              <c16:uniqueId val="{00000002-4207-4D44-95DA-7C9CAF16DBBF}"/>
            </c:ext>
          </c:extLst>
        </c:ser>
        <c:ser>
          <c:idx val="3"/>
          <c:order val="3"/>
          <c:tx>
            <c:strRef>
              <c:f>'wtp ovins2'!$A$27</c:f>
              <c:strCache>
                <c:ptCount val="1"/>
                <c:pt idx="0">
                  <c:v>3000</c:v>
                </c:pt>
              </c:strCache>
            </c:strRef>
          </c:tx>
          <c:spPr>
            <a:solidFill>
              <a:schemeClr val="accent4"/>
            </a:solidFill>
            <a:ln>
              <a:noFill/>
            </a:ln>
            <a:effectLst/>
          </c:spPr>
          <c:invertIfNegative val="0"/>
          <c:cat>
            <c:strRef>
              <c:f>'wtp ovins2'!$B$23:$F$23</c:f>
              <c:strCache>
                <c:ptCount val="5"/>
                <c:pt idx="0">
                  <c:v>retard des pluies</c:v>
                </c:pt>
                <c:pt idx="1">
                  <c:v>pluies insuffisantes</c:v>
                </c:pt>
                <c:pt idx="2">
                  <c:v>intempéries</c:v>
                </c:pt>
                <c:pt idx="3">
                  <c:v>vol du bétail</c:v>
                </c:pt>
                <c:pt idx="4">
                  <c:v>mort naturelle</c:v>
                </c:pt>
              </c:strCache>
            </c:strRef>
          </c:cat>
          <c:val>
            <c:numRef>
              <c:f>'wtp ovins2'!$B$27:$F$27</c:f>
              <c:numCache>
                <c:formatCode>0</c:formatCode>
                <c:ptCount val="5"/>
                <c:pt idx="0">
                  <c:v>12.93</c:v>
                </c:pt>
                <c:pt idx="1">
                  <c:v>13.69</c:v>
                </c:pt>
                <c:pt idx="2">
                  <c:v>15.97</c:v>
                </c:pt>
                <c:pt idx="3">
                  <c:v>16.73</c:v>
                </c:pt>
                <c:pt idx="4">
                  <c:v>17.489999999999998</c:v>
                </c:pt>
              </c:numCache>
            </c:numRef>
          </c:val>
          <c:extLst xmlns:c16r2="http://schemas.microsoft.com/office/drawing/2015/06/chart">
            <c:ext xmlns:c16="http://schemas.microsoft.com/office/drawing/2014/chart" uri="{C3380CC4-5D6E-409C-BE32-E72D297353CC}">
              <c16:uniqueId val="{00000003-4207-4D44-95DA-7C9CAF16DBBF}"/>
            </c:ext>
          </c:extLst>
        </c:ser>
        <c:ser>
          <c:idx val="4"/>
          <c:order val="4"/>
          <c:tx>
            <c:strRef>
              <c:f>'wtp ovins2'!$A$28</c:f>
              <c:strCache>
                <c:ptCount val="1"/>
                <c:pt idx="0">
                  <c:v>5000</c:v>
                </c:pt>
              </c:strCache>
            </c:strRef>
          </c:tx>
          <c:spPr>
            <a:solidFill>
              <a:schemeClr val="accent5"/>
            </a:solidFill>
            <a:ln>
              <a:noFill/>
            </a:ln>
            <a:effectLst/>
          </c:spPr>
          <c:invertIfNegative val="0"/>
          <c:cat>
            <c:strRef>
              <c:f>'wtp ovins2'!$B$23:$F$23</c:f>
              <c:strCache>
                <c:ptCount val="5"/>
                <c:pt idx="0">
                  <c:v>retard des pluies</c:v>
                </c:pt>
                <c:pt idx="1">
                  <c:v>pluies insuffisantes</c:v>
                </c:pt>
                <c:pt idx="2">
                  <c:v>intempéries</c:v>
                </c:pt>
                <c:pt idx="3">
                  <c:v>vol du bétail</c:v>
                </c:pt>
                <c:pt idx="4">
                  <c:v>mort naturelle</c:v>
                </c:pt>
              </c:strCache>
            </c:strRef>
          </c:cat>
          <c:val>
            <c:numRef>
              <c:f>'wtp ovins2'!$B$28:$F$28</c:f>
              <c:numCache>
                <c:formatCode>0</c:formatCode>
                <c:ptCount val="5"/>
                <c:pt idx="0">
                  <c:v>10.27</c:v>
                </c:pt>
                <c:pt idx="1">
                  <c:v>10.65</c:v>
                </c:pt>
                <c:pt idx="2">
                  <c:v>9.1300000000000008</c:v>
                </c:pt>
                <c:pt idx="3">
                  <c:v>6.08</c:v>
                </c:pt>
                <c:pt idx="4">
                  <c:v>9.89</c:v>
                </c:pt>
              </c:numCache>
            </c:numRef>
          </c:val>
          <c:extLst xmlns:c16r2="http://schemas.microsoft.com/office/drawing/2015/06/chart">
            <c:ext xmlns:c16="http://schemas.microsoft.com/office/drawing/2014/chart" uri="{C3380CC4-5D6E-409C-BE32-E72D297353CC}">
              <c16:uniqueId val="{00000004-4207-4D44-95DA-7C9CAF16DBBF}"/>
            </c:ext>
          </c:extLst>
        </c:ser>
        <c:ser>
          <c:idx val="5"/>
          <c:order val="5"/>
          <c:tx>
            <c:strRef>
              <c:f>'wtp ovins2'!$A$29</c:f>
              <c:strCache>
                <c:ptCount val="1"/>
                <c:pt idx="0">
                  <c:v>7500</c:v>
                </c:pt>
              </c:strCache>
            </c:strRef>
          </c:tx>
          <c:spPr>
            <a:solidFill>
              <a:schemeClr val="accent6"/>
            </a:solidFill>
            <a:ln>
              <a:noFill/>
            </a:ln>
            <a:effectLst/>
          </c:spPr>
          <c:invertIfNegative val="0"/>
          <c:cat>
            <c:strRef>
              <c:f>'wtp ovins2'!$B$23:$F$23</c:f>
              <c:strCache>
                <c:ptCount val="5"/>
                <c:pt idx="0">
                  <c:v>retard des pluies</c:v>
                </c:pt>
                <c:pt idx="1">
                  <c:v>pluies insuffisantes</c:v>
                </c:pt>
                <c:pt idx="2">
                  <c:v>intempéries</c:v>
                </c:pt>
                <c:pt idx="3">
                  <c:v>vol du bétail</c:v>
                </c:pt>
                <c:pt idx="4">
                  <c:v>mort naturelle</c:v>
                </c:pt>
              </c:strCache>
            </c:strRef>
          </c:cat>
          <c:val>
            <c:numRef>
              <c:f>'wtp ovins2'!$B$29:$F$29</c:f>
              <c:numCache>
                <c:formatCode>0</c:formatCode>
                <c:ptCount val="5"/>
                <c:pt idx="0">
                  <c:v>3.04</c:v>
                </c:pt>
                <c:pt idx="1">
                  <c:v>3.8</c:v>
                </c:pt>
                <c:pt idx="2">
                  <c:v>4.9400000000000004</c:v>
                </c:pt>
                <c:pt idx="3">
                  <c:v>4.9400000000000004</c:v>
                </c:pt>
                <c:pt idx="4">
                  <c:v>3.04</c:v>
                </c:pt>
              </c:numCache>
            </c:numRef>
          </c:val>
          <c:extLst xmlns:c16r2="http://schemas.microsoft.com/office/drawing/2015/06/chart">
            <c:ext xmlns:c16="http://schemas.microsoft.com/office/drawing/2014/chart" uri="{C3380CC4-5D6E-409C-BE32-E72D297353CC}">
              <c16:uniqueId val="{00000005-4207-4D44-95DA-7C9CAF16DBBF}"/>
            </c:ext>
          </c:extLst>
        </c:ser>
        <c:ser>
          <c:idx val="6"/>
          <c:order val="6"/>
          <c:tx>
            <c:strRef>
              <c:f>'wtp ovins2'!$A$30</c:f>
              <c:strCache>
                <c:ptCount val="1"/>
                <c:pt idx="0">
                  <c:v>10000</c:v>
                </c:pt>
              </c:strCache>
            </c:strRef>
          </c:tx>
          <c:spPr>
            <a:solidFill>
              <a:schemeClr val="accent1">
                <a:lumMod val="60000"/>
              </a:schemeClr>
            </a:solidFill>
            <a:ln>
              <a:noFill/>
            </a:ln>
            <a:effectLst/>
          </c:spPr>
          <c:invertIfNegative val="0"/>
          <c:cat>
            <c:strRef>
              <c:f>'wtp ovins2'!$B$23:$F$23</c:f>
              <c:strCache>
                <c:ptCount val="5"/>
                <c:pt idx="0">
                  <c:v>retard des pluies</c:v>
                </c:pt>
                <c:pt idx="1">
                  <c:v>pluies insuffisantes</c:v>
                </c:pt>
                <c:pt idx="2">
                  <c:v>intempéries</c:v>
                </c:pt>
                <c:pt idx="3">
                  <c:v>vol du bétail</c:v>
                </c:pt>
                <c:pt idx="4">
                  <c:v>mort naturelle</c:v>
                </c:pt>
              </c:strCache>
            </c:strRef>
          </c:cat>
          <c:val>
            <c:numRef>
              <c:f>'wtp ovins2'!$B$30:$F$30</c:f>
              <c:numCache>
                <c:formatCode>0</c:formatCode>
                <c:ptCount val="5"/>
                <c:pt idx="0">
                  <c:v>16.73</c:v>
                </c:pt>
                <c:pt idx="1">
                  <c:v>16.73</c:v>
                </c:pt>
                <c:pt idx="2">
                  <c:v>15.97</c:v>
                </c:pt>
                <c:pt idx="3">
                  <c:v>15.97</c:v>
                </c:pt>
                <c:pt idx="4">
                  <c:v>13.69</c:v>
                </c:pt>
              </c:numCache>
            </c:numRef>
          </c:val>
          <c:extLst xmlns:c16r2="http://schemas.microsoft.com/office/drawing/2015/06/chart">
            <c:ext xmlns:c16="http://schemas.microsoft.com/office/drawing/2014/chart" uri="{C3380CC4-5D6E-409C-BE32-E72D297353CC}">
              <c16:uniqueId val="{00000006-4207-4D44-95DA-7C9CAF16DBBF}"/>
            </c:ext>
          </c:extLst>
        </c:ser>
        <c:ser>
          <c:idx val="7"/>
          <c:order val="7"/>
          <c:tx>
            <c:strRef>
              <c:f>'wtp ovins2'!$A$31</c:f>
              <c:strCache>
                <c:ptCount val="1"/>
                <c:pt idx="0">
                  <c:v>plus de 10000</c:v>
                </c:pt>
              </c:strCache>
            </c:strRef>
          </c:tx>
          <c:spPr>
            <a:solidFill>
              <a:schemeClr val="accent2">
                <a:lumMod val="60000"/>
              </a:schemeClr>
            </a:solidFill>
            <a:ln>
              <a:noFill/>
            </a:ln>
            <a:effectLst/>
          </c:spPr>
          <c:invertIfNegative val="0"/>
          <c:cat>
            <c:strRef>
              <c:f>'wtp ovins2'!$B$23:$F$23</c:f>
              <c:strCache>
                <c:ptCount val="5"/>
                <c:pt idx="0">
                  <c:v>retard des pluies</c:v>
                </c:pt>
                <c:pt idx="1">
                  <c:v>pluies insuffisantes</c:v>
                </c:pt>
                <c:pt idx="2">
                  <c:v>intempéries</c:v>
                </c:pt>
                <c:pt idx="3">
                  <c:v>vol du bétail</c:v>
                </c:pt>
                <c:pt idx="4">
                  <c:v>mort naturelle</c:v>
                </c:pt>
              </c:strCache>
            </c:strRef>
          </c:cat>
          <c:val>
            <c:numRef>
              <c:f>'wtp ovins2'!$B$31:$F$31</c:f>
              <c:numCache>
                <c:formatCode>0</c:formatCode>
                <c:ptCount val="5"/>
                <c:pt idx="0">
                  <c:v>29.66</c:v>
                </c:pt>
                <c:pt idx="1">
                  <c:v>27.76</c:v>
                </c:pt>
                <c:pt idx="2">
                  <c:v>20.53</c:v>
                </c:pt>
                <c:pt idx="3">
                  <c:v>26.24</c:v>
                </c:pt>
                <c:pt idx="4">
                  <c:v>23.95</c:v>
                </c:pt>
              </c:numCache>
            </c:numRef>
          </c:val>
          <c:extLst xmlns:c16r2="http://schemas.microsoft.com/office/drawing/2015/06/chart">
            <c:ext xmlns:c16="http://schemas.microsoft.com/office/drawing/2014/chart" uri="{C3380CC4-5D6E-409C-BE32-E72D297353CC}">
              <c16:uniqueId val="{00000007-4207-4D44-95DA-7C9CAF16DBBF}"/>
            </c:ext>
          </c:extLst>
        </c:ser>
        <c:dLbls>
          <c:showLegendKey val="0"/>
          <c:showVal val="0"/>
          <c:showCatName val="0"/>
          <c:showSerName val="0"/>
          <c:showPercent val="0"/>
          <c:showBubbleSize val="0"/>
        </c:dLbls>
        <c:gapWidth val="219"/>
        <c:overlap val="-27"/>
        <c:axId val="382338704"/>
        <c:axId val="382339096"/>
      </c:barChart>
      <c:catAx>
        <c:axId val="382338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82339096"/>
        <c:crosses val="autoZero"/>
        <c:auto val="1"/>
        <c:lblAlgn val="ctr"/>
        <c:lblOffset val="100"/>
        <c:noMultiLvlLbl val="0"/>
      </c:catAx>
      <c:valAx>
        <c:axId val="3823390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82338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400" b="0" i="0" u="none" strike="noStrike" baseline="0">
                <a:effectLst/>
              </a:rPr>
              <a:t>Consentement à payer pour pour assurer une valeur de 100 000 FCFA des ovins (en % d'éleveurs)</a:t>
            </a:r>
            <a:endParaRPr lang="fr-FR"/>
          </a:p>
        </c:rich>
      </c:tx>
      <c:layout>
        <c:manualLayout>
          <c:xMode val="edge"/>
          <c:yMode val="edge"/>
          <c:x val="0.12466666666666669"/>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'wtp ovins2'!$A$34</c:f>
              <c:strCache>
                <c:ptCount val="1"/>
                <c:pt idx="0">
                  <c:v>rien</c:v>
                </c:pt>
              </c:strCache>
            </c:strRef>
          </c:tx>
          <c:spPr>
            <a:solidFill>
              <a:schemeClr val="accent1"/>
            </a:solidFill>
            <a:ln>
              <a:noFill/>
            </a:ln>
            <a:effectLst/>
          </c:spPr>
          <c:invertIfNegative val="0"/>
          <c:cat>
            <c:strRef>
              <c:f>'wtp ovins2'!$B$33:$F$33</c:f>
              <c:strCache>
                <c:ptCount val="5"/>
                <c:pt idx="0">
                  <c:v>retard des pluies</c:v>
                </c:pt>
                <c:pt idx="1">
                  <c:v>pluies insuffisantes</c:v>
                </c:pt>
                <c:pt idx="2">
                  <c:v>intempéries</c:v>
                </c:pt>
                <c:pt idx="3">
                  <c:v>vol du bétail</c:v>
                </c:pt>
                <c:pt idx="4">
                  <c:v>mort naturelle</c:v>
                </c:pt>
              </c:strCache>
            </c:strRef>
          </c:cat>
          <c:val>
            <c:numRef>
              <c:f>'wtp ovins2'!$B$34:$F$34</c:f>
              <c:numCache>
                <c:formatCode>0</c:formatCode>
                <c:ptCount val="5"/>
                <c:pt idx="0">
                  <c:v>13.31</c:v>
                </c:pt>
                <c:pt idx="1">
                  <c:v>12.55</c:v>
                </c:pt>
                <c:pt idx="2">
                  <c:v>16.350000000000001</c:v>
                </c:pt>
                <c:pt idx="3">
                  <c:v>14.07</c:v>
                </c:pt>
                <c:pt idx="4">
                  <c:v>13.31</c:v>
                </c:pt>
              </c:numCache>
            </c:numRef>
          </c:val>
          <c:extLst xmlns:c16r2="http://schemas.microsoft.com/office/drawing/2015/06/chart">
            <c:ext xmlns:c16="http://schemas.microsoft.com/office/drawing/2014/chart" uri="{C3380CC4-5D6E-409C-BE32-E72D297353CC}">
              <c16:uniqueId val="{00000000-9001-4A8D-A4CB-ABBFF576CC4A}"/>
            </c:ext>
          </c:extLst>
        </c:ser>
        <c:ser>
          <c:idx val="1"/>
          <c:order val="1"/>
          <c:tx>
            <c:strRef>
              <c:f>'wtp ovins2'!$A$35</c:f>
              <c:strCache>
                <c:ptCount val="1"/>
                <c:pt idx="0">
                  <c:v>500</c:v>
                </c:pt>
              </c:strCache>
            </c:strRef>
          </c:tx>
          <c:spPr>
            <a:solidFill>
              <a:schemeClr val="accent2"/>
            </a:solidFill>
            <a:ln>
              <a:noFill/>
            </a:ln>
            <a:effectLst/>
          </c:spPr>
          <c:invertIfNegative val="0"/>
          <c:cat>
            <c:strRef>
              <c:f>'wtp ovins2'!$B$33:$F$33</c:f>
              <c:strCache>
                <c:ptCount val="5"/>
                <c:pt idx="0">
                  <c:v>retard des pluies</c:v>
                </c:pt>
                <c:pt idx="1">
                  <c:v>pluies insuffisantes</c:v>
                </c:pt>
                <c:pt idx="2">
                  <c:v>intempéries</c:v>
                </c:pt>
                <c:pt idx="3">
                  <c:v>vol du bétail</c:v>
                </c:pt>
                <c:pt idx="4">
                  <c:v>mort naturelle</c:v>
                </c:pt>
              </c:strCache>
            </c:strRef>
          </c:cat>
          <c:val>
            <c:numRef>
              <c:f>'wtp ovins2'!$B$35:$F$35</c:f>
              <c:numCache>
                <c:formatCode>0</c:formatCode>
                <c:ptCount val="5"/>
                <c:pt idx="0">
                  <c:v>7.6</c:v>
                </c:pt>
                <c:pt idx="1">
                  <c:v>7.98</c:v>
                </c:pt>
                <c:pt idx="2">
                  <c:v>8.75</c:v>
                </c:pt>
                <c:pt idx="3">
                  <c:v>7.22</c:v>
                </c:pt>
                <c:pt idx="4">
                  <c:v>10.27</c:v>
                </c:pt>
              </c:numCache>
            </c:numRef>
          </c:val>
          <c:extLst xmlns:c16r2="http://schemas.microsoft.com/office/drawing/2015/06/chart">
            <c:ext xmlns:c16="http://schemas.microsoft.com/office/drawing/2014/chart" uri="{C3380CC4-5D6E-409C-BE32-E72D297353CC}">
              <c16:uniqueId val="{00000001-9001-4A8D-A4CB-ABBFF576CC4A}"/>
            </c:ext>
          </c:extLst>
        </c:ser>
        <c:ser>
          <c:idx val="2"/>
          <c:order val="2"/>
          <c:tx>
            <c:strRef>
              <c:f>'wtp ovins2'!$A$36</c:f>
              <c:strCache>
                <c:ptCount val="1"/>
                <c:pt idx="0">
                  <c:v>1000</c:v>
                </c:pt>
              </c:strCache>
            </c:strRef>
          </c:tx>
          <c:spPr>
            <a:solidFill>
              <a:schemeClr val="accent3"/>
            </a:solidFill>
            <a:ln>
              <a:noFill/>
            </a:ln>
            <a:effectLst/>
          </c:spPr>
          <c:invertIfNegative val="0"/>
          <c:cat>
            <c:strRef>
              <c:f>'wtp ovins2'!$B$33:$F$33</c:f>
              <c:strCache>
                <c:ptCount val="5"/>
                <c:pt idx="0">
                  <c:v>retard des pluies</c:v>
                </c:pt>
                <c:pt idx="1">
                  <c:v>pluies insuffisantes</c:v>
                </c:pt>
                <c:pt idx="2">
                  <c:v>intempéries</c:v>
                </c:pt>
                <c:pt idx="3">
                  <c:v>vol du bétail</c:v>
                </c:pt>
                <c:pt idx="4">
                  <c:v>mort naturelle</c:v>
                </c:pt>
              </c:strCache>
            </c:strRef>
          </c:cat>
          <c:val>
            <c:numRef>
              <c:f>'wtp ovins2'!$B$36:$F$36</c:f>
              <c:numCache>
                <c:formatCode>0</c:formatCode>
                <c:ptCount val="5"/>
                <c:pt idx="0">
                  <c:v>12.93</c:v>
                </c:pt>
                <c:pt idx="1">
                  <c:v>13.31</c:v>
                </c:pt>
                <c:pt idx="2">
                  <c:v>14.45</c:v>
                </c:pt>
                <c:pt idx="3">
                  <c:v>14.83</c:v>
                </c:pt>
                <c:pt idx="4">
                  <c:v>15.21</c:v>
                </c:pt>
              </c:numCache>
            </c:numRef>
          </c:val>
          <c:extLst xmlns:c16r2="http://schemas.microsoft.com/office/drawing/2015/06/chart">
            <c:ext xmlns:c16="http://schemas.microsoft.com/office/drawing/2014/chart" uri="{C3380CC4-5D6E-409C-BE32-E72D297353CC}">
              <c16:uniqueId val="{00000002-9001-4A8D-A4CB-ABBFF576CC4A}"/>
            </c:ext>
          </c:extLst>
        </c:ser>
        <c:ser>
          <c:idx val="3"/>
          <c:order val="3"/>
          <c:tx>
            <c:strRef>
              <c:f>'wtp ovins2'!$A$37</c:f>
              <c:strCache>
                <c:ptCount val="1"/>
                <c:pt idx="0">
                  <c:v>3000</c:v>
                </c:pt>
              </c:strCache>
            </c:strRef>
          </c:tx>
          <c:spPr>
            <a:solidFill>
              <a:schemeClr val="accent4"/>
            </a:solidFill>
            <a:ln>
              <a:noFill/>
            </a:ln>
            <a:effectLst/>
          </c:spPr>
          <c:invertIfNegative val="0"/>
          <c:cat>
            <c:strRef>
              <c:f>'wtp ovins2'!$B$33:$F$33</c:f>
              <c:strCache>
                <c:ptCount val="5"/>
                <c:pt idx="0">
                  <c:v>retard des pluies</c:v>
                </c:pt>
                <c:pt idx="1">
                  <c:v>pluies insuffisantes</c:v>
                </c:pt>
                <c:pt idx="2">
                  <c:v>intempéries</c:v>
                </c:pt>
                <c:pt idx="3">
                  <c:v>vol du bétail</c:v>
                </c:pt>
                <c:pt idx="4">
                  <c:v>mort naturelle</c:v>
                </c:pt>
              </c:strCache>
            </c:strRef>
          </c:cat>
          <c:val>
            <c:numRef>
              <c:f>'wtp ovins2'!$B$37:$F$37</c:f>
              <c:numCache>
                <c:formatCode>0</c:formatCode>
                <c:ptCount val="5"/>
                <c:pt idx="0">
                  <c:v>28.9</c:v>
                </c:pt>
                <c:pt idx="1">
                  <c:v>30.04</c:v>
                </c:pt>
                <c:pt idx="2">
                  <c:v>30.42</c:v>
                </c:pt>
                <c:pt idx="3">
                  <c:v>32.700000000000003</c:v>
                </c:pt>
                <c:pt idx="4">
                  <c:v>28.9</c:v>
                </c:pt>
              </c:numCache>
            </c:numRef>
          </c:val>
          <c:extLst xmlns:c16r2="http://schemas.microsoft.com/office/drawing/2015/06/chart">
            <c:ext xmlns:c16="http://schemas.microsoft.com/office/drawing/2014/chart" uri="{C3380CC4-5D6E-409C-BE32-E72D297353CC}">
              <c16:uniqueId val="{00000003-9001-4A8D-A4CB-ABBFF576CC4A}"/>
            </c:ext>
          </c:extLst>
        </c:ser>
        <c:ser>
          <c:idx val="4"/>
          <c:order val="4"/>
          <c:tx>
            <c:strRef>
              <c:f>'wtp ovins2'!$A$38</c:f>
              <c:strCache>
                <c:ptCount val="1"/>
                <c:pt idx="0">
                  <c:v>5000</c:v>
                </c:pt>
              </c:strCache>
            </c:strRef>
          </c:tx>
          <c:spPr>
            <a:solidFill>
              <a:schemeClr val="accent5"/>
            </a:solidFill>
            <a:ln>
              <a:noFill/>
            </a:ln>
            <a:effectLst/>
          </c:spPr>
          <c:invertIfNegative val="0"/>
          <c:cat>
            <c:strRef>
              <c:f>'wtp ovins2'!$B$33:$F$33</c:f>
              <c:strCache>
                <c:ptCount val="5"/>
                <c:pt idx="0">
                  <c:v>retard des pluies</c:v>
                </c:pt>
                <c:pt idx="1">
                  <c:v>pluies insuffisantes</c:v>
                </c:pt>
                <c:pt idx="2">
                  <c:v>intempéries</c:v>
                </c:pt>
                <c:pt idx="3">
                  <c:v>vol du bétail</c:v>
                </c:pt>
                <c:pt idx="4">
                  <c:v>mort naturelle</c:v>
                </c:pt>
              </c:strCache>
            </c:strRef>
          </c:cat>
          <c:val>
            <c:numRef>
              <c:f>'wtp ovins2'!$B$38:$F$38</c:f>
              <c:numCache>
                <c:formatCode>0</c:formatCode>
                <c:ptCount val="5"/>
                <c:pt idx="0">
                  <c:v>15.97</c:v>
                </c:pt>
                <c:pt idx="1">
                  <c:v>12.93</c:v>
                </c:pt>
                <c:pt idx="2">
                  <c:v>12.55</c:v>
                </c:pt>
                <c:pt idx="3">
                  <c:v>12.93</c:v>
                </c:pt>
                <c:pt idx="4">
                  <c:v>12.55</c:v>
                </c:pt>
              </c:numCache>
            </c:numRef>
          </c:val>
          <c:extLst xmlns:c16r2="http://schemas.microsoft.com/office/drawing/2015/06/chart">
            <c:ext xmlns:c16="http://schemas.microsoft.com/office/drawing/2014/chart" uri="{C3380CC4-5D6E-409C-BE32-E72D297353CC}">
              <c16:uniqueId val="{00000004-9001-4A8D-A4CB-ABBFF576CC4A}"/>
            </c:ext>
          </c:extLst>
        </c:ser>
        <c:ser>
          <c:idx val="5"/>
          <c:order val="5"/>
          <c:tx>
            <c:strRef>
              <c:f>'wtp ovins2'!$A$39</c:f>
              <c:strCache>
                <c:ptCount val="1"/>
                <c:pt idx="0">
                  <c:v>7500</c:v>
                </c:pt>
              </c:strCache>
            </c:strRef>
          </c:tx>
          <c:spPr>
            <a:solidFill>
              <a:schemeClr val="accent6"/>
            </a:solidFill>
            <a:ln>
              <a:noFill/>
            </a:ln>
            <a:effectLst/>
          </c:spPr>
          <c:invertIfNegative val="0"/>
          <c:cat>
            <c:strRef>
              <c:f>'wtp ovins2'!$B$33:$F$33</c:f>
              <c:strCache>
                <c:ptCount val="5"/>
                <c:pt idx="0">
                  <c:v>retard des pluies</c:v>
                </c:pt>
                <c:pt idx="1">
                  <c:v>pluies insuffisantes</c:v>
                </c:pt>
                <c:pt idx="2">
                  <c:v>intempéries</c:v>
                </c:pt>
                <c:pt idx="3">
                  <c:v>vol du bétail</c:v>
                </c:pt>
                <c:pt idx="4">
                  <c:v>mort naturelle</c:v>
                </c:pt>
              </c:strCache>
            </c:strRef>
          </c:cat>
          <c:val>
            <c:numRef>
              <c:f>'wtp ovins2'!$B$39:$F$39</c:f>
              <c:numCache>
                <c:formatCode>0</c:formatCode>
                <c:ptCount val="5"/>
                <c:pt idx="0">
                  <c:v>4.18</c:v>
                </c:pt>
                <c:pt idx="1">
                  <c:v>5.7</c:v>
                </c:pt>
                <c:pt idx="2">
                  <c:v>3.8</c:v>
                </c:pt>
                <c:pt idx="3">
                  <c:v>4.9400000000000004</c:v>
                </c:pt>
                <c:pt idx="4">
                  <c:v>4.9400000000000004</c:v>
                </c:pt>
              </c:numCache>
            </c:numRef>
          </c:val>
          <c:extLst xmlns:c16r2="http://schemas.microsoft.com/office/drawing/2015/06/chart">
            <c:ext xmlns:c16="http://schemas.microsoft.com/office/drawing/2014/chart" uri="{C3380CC4-5D6E-409C-BE32-E72D297353CC}">
              <c16:uniqueId val="{00000005-9001-4A8D-A4CB-ABBFF576CC4A}"/>
            </c:ext>
          </c:extLst>
        </c:ser>
        <c:ser>
          <c:idx val="6"/>
          <c:order val="6"/>
          <c:tx>
            <c:strRef>
              <c:f>'wtp ovins2'!$A$40</c:f>
              <c:strCache>
                <c:ptCount val="1"/>
                <c:pt idx="0">
                  <c:v>10000</c:v>
                </c:pt>
              </c:strCache>
            </c:strRef>
          </c:tx>
          <c:spPr>
            <a:solidFill>
              <a:schemeClr val="accent1">
                <a:lumMod val="60000"/>
              </a:schemeClr>
            </a:solidFill>
            <a:ln>
              <a:noFill/>
            </a:ln>
            <a:effectLst/>
          </c:spPr>
          <c:invertIfNegative val="0"/>
          <c:cat>
            <c:strRef>
              <c:f>'wtp ovins2'!$B$33:$F$33</c:f>
              <c:strCache>
                <c:ptCount val="5"/>
                <c:pt idx="0">
                  <c:v>retard des pluies</c:v>
                </c:pt>
                <c:pt idx="1">
                  <c:v>pluies insuffisantes</c:v>
                </c:pt>
                <c:pt idx="2">
                  <c:v>intempéries</c:v>
                </c:pt>
                <c:pt idx="3">
                  <c:v>vol du bétail</c:v>
                </c:pt>
                <c:pt idx="4">
                  <c:v>mort naturelle</c:v>
                </c:pt>
              </c:strCache>
            </c:strRef>
          </c:cat>
          <c:val>
            <c:numRef>
              <c:f>'wtp ovins2'!$B$40:$F$40</c:f>
              <c:numCache>
                <c:formatCode>0</c:formatCode>
                <c:ptCount val="5"/>
                <c:pt idx="0">
                  <c:v>9.51</c:v>
                </c:pt>
                <c:pt idx="1">
                  <c:v>10.27</c:v>
                </c:pt>
                <c:pt idx="2">
                  <c:v>8.75</c:v>
                </c:pt>
                <c:pt idx="3">
                  <c:v>6.08</c:v>
                </c:pt>
                <c:pt idx="4">
                  <c:v>7.22</c:v>
                </c:pt>
              </c:numCache>
            </c:numRef>
          </c:val>
          <c:extLst xmlns:c16r2="http://schemas.microsoft.com/office/drawing/2015/06/chart">
            <c:ext xmlns:c16="http://schemas.microsoft.com/office/drawing/2014/chart" uri="{C3380CC4-5D6E-409C-BE32-E72D297353CC}">
              <c16:uniqueId val="{00000006-9001-4A8D-A4CB-ABBFF576CC4A}"/>
            </c:ext>
          </c:extLst>
        </c:ser>
        <c:ser>
          <c:idx val="7"/>
          <c:order val="7"/>
          <c:tx>
            <c:strRef>
              <c:f>'wtp ovins2'!$A$41</c:f>
              <c:strCache>
                <c:ptCount val="1"/>
                <c:pt idx="0">
                  <c:v>plus de 10000</c:v>
                </c:pt>
              </c:strCache>
            </c:strRef>
          </c:tx>
          <c:spPr>
            <a:solidFill>
              <a:schemeClr val="accent2">
                <a:lumMod val="60000"/>
              </a:schemeClr>
            </a:solidFill>
            <a:ln>
              <a:noFill/>
            </a:ln>
            <a:effectLst/>
          </c:spPr>
          <c:invertIfNegative val="0"/>
          <c:cat>
            <c:strRef>
              <c:f>'wtp ovins2'!$B$33:$F$33</c:f>
              <c:strCache>
                <c:ptCount val="5"/>
                <c:pt idx="0">
                  <c:v>retard des pluies</c:v>
                </c:pt>
                <c:pt idx="1">
                  <c:v>pluies insuffisantes</c:v>
                </c:pt>
                <c:pt idx="2">
                  <c:v>intempéries</c:v>
                </c:pt>
                <c:pt idx="3">
                  <c:v>vol du bétail</c:v>
                </c:pt>
                <c:pt idx="4">
                  <c:v>mort naturelle</c:v>
                </c:pt>
              </c:strCache>
            </c:strRef>
          </c:cat>
          <c:val>
            <c:numRef>
              <c:f>'wtp ovins2'!$B$41:$F$41</c:f>
              <c:numCache>
                <c:formatCode>0</c:formatCode>
                <c:ptCount val="5"/>
                <c:pt idx="0">
                  <c:v>7.6</c:v>
                </c:pt>
                <c:pt idx="1">
                  <c:v>7.22</c:v>
                </c:pt>
                <c:pt idx="2">
                  <c:v>4.9400000000000004</c:v>
                </c:pt>
                <c:pt idx="3">
                  <c:v>7.22</c:v>
                </c:pt>
                <c:pt idx="4">
                  <c:v>7.6</c:v>
                </c:pt>
              </c:numCache>
            </c:numRef>
          </c:val>
          <c:extLst xmlns:c16r2="http://schemas.microsoft.com/office/drawing/2015/06/chart">
            <c:ext xmlns:c16="http://schemas.microsoft.com/office/drawing/2014/chart" uri="{C3380CC4-5D6E-409C-BE32-E72D297353CC}">
              <c16:uniqueId val="{00000007-9001-4A8D-A4CB-ABBFF576CC4A}"/>
            </c:ext>
          </c:extLst>
        </c:ser>
        <c:dLbls>
          <c:showLegendKey val="0"/>
          <c:showVal val="0"/>
          <c:showCatName val="0"/>
          <c:showSerName val="0"/>
          <c:showPercent val="0"/>
          <c:showBubbleSize val="0"/>
        </c:dLbls>
        <c:gapWidth val="219"/>
        <c:overlap val="-27"/>
        <c:axId val="382339880"/>
        <c:axId val="382340272"/>
      </c:barChart>
      <c:catAx>
        <c:axId val="382339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82340272"/>
        <c:crosses val="autoZero"/>
        <c:auto val="1"/>
        <c:lblAlgn val="ctr"/>
        <c:lblOffset val="100"/>
        <c:noMultiLvlLbl val="0"/>
      </c:catAx>
      <c:valAx>
        <c:axId val="3823402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82339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Combien</a:t>
            </a:r>
            <a:r>
              <a:rPr lang="fr-FR" baseline="0"/>
              <a:t> êtes vous prêts à payer pour assurer une tête de vos caprins? (en % d'éleveurs)</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'wtp caprins2'!$A$2</c:f>
              <c:strCache>
                <c:ptCount val="1"/>
                <c:pt idx="0">
                  <c:v>rien</c:v>
                </c:pt>
              </c:strCache>
            </c:strRef>
          </c:tx>
          <c:spPr>
            <a:solidFill>
              <a:schemeClr val="accent1"/>
            </a:solidFill>
            <a:ln>
              <a:noFill/>
            </a:ln>
            <a:effectLst/>
          </c:spPr>
          <c:invertIfNegative val="0"/>
          <c:cat>
            <c:strRef>
              <c:f>'wtp caprins2'!$B$1:$F$1</c:f>
              <c:strCache>
                <c:ptCount val="5"/>
                <c:pt idx="0">
                  <c:v>retard des pluies</c:v>
                </c:pt>
                <c:pt idx="1">
                  <c:v>pluies insuffisantes</c:v>
                </c:pt>
                <c:pt idx="2">
                  <c:v>intempéries</c:v>
                </c:pt>
                <c:pt idx="3">
                  <c:v>vol du bétail</c:v>
                </c:pt>
                <c:pt idx="4">
                  <c:v>mort naturelle</c:v>
                </c:pt>
              </c:strCache>
            </c:strRef>
          </c:cat>
          <c:val>
            <c:numRef>
              <c:f>'wtp caprins2'!$B$2:$F$2</c:f>
              <c:numCache>
                <c:formatCode>General</c:formatCode>
                <c:ptCount val="5"/>
                <c:pt idx="0">
                  <c:v>28.29</c:v>
                </c:pt>
                <c:pt idx="1">
                  <c:v>27.09</c:v>
                </c:pt>
                <c:pt idx="2">
                  <c:v>29.08</c:v>
                </c:pt>
                <c:pt idx="3">
                  <c:v>26.69</c:v>
                </c:pt>
                <c:pt idx="4">
                  <c:v>27.49</c:v>
                </c:pt>
              </c:numCache>
            </c:numRef>
          </c:val>
          <c:extLst xmlns:c16r2="http://schemas.microsoft.com/office/drawing/2015/06/chart">
            <c:ext xmlns:c16="http://schemas.microsoft.com/office/drawing/2014/chart" uri="{C3380CC4-5D6E-409C-BE32-E72D297353CC}">
              <c16:uniqueId val="{00000000-7750-48E3-A2A7-540BA178B843}"/>
            </c:ext>
          </c:extLst>
        </c:ser>
        <c:ser>
          <c:idx val="1"/>
          <c:order val="1"/>
          <c:tx>
            <c:strRef>
              <c:f>'wtp caprins2'!$A$3</c:f>
              <c:strCache>
                <c:ptCount val="1"/>
                <c:pt idx="0">
                  <c:v>500</c:v>
                </c:pt>
              </c:strCache>
            </c:strRef>
          </c:tx>
          <c:spPr>
            <a:solidFill>
              <a:schemeClr val="accent2"/>
            </a:solidFill>
            <a:ln>
              <a:noFill/>
            </a:ln>
            <a:effectLst/>
          </c:spPr>
          <c:invertIfNegative val="0"/>
          <c:cat>
            <c:strRef>
              <c:f>'wtp caprins2'!$B$1:$F$1</c:f>
              <c:strCache>
                <c:ptCount val="5"/>
                <c:pt idx="0">
                  <c:v>retard des pluies</c:v>
                </c:pt>
                <c:pt idx="1">
                  <c:v>pluies insuffisantes</c:v>
                </c:pt>
                <c:pt idx="2">
                  <c:v>intempéries</c:v>
                </c:pt>
                <c:pt idx="3">
                  <c:v>vol du bétail</c:v>
                </c:pt>
                <c:pt idx="4">
                  <c:v>mort naturelle</c:v>
                </c:pt>
              </c:strCache>
            </c:strRef>
          </c:cat>
          <c:val>
            <c:numRef>
              <c:f>'wtp caprins2'!$B$3:$F$3</c:f>
              <c:numCache>
                <c:formatCode>General</c:formatCode>
                <c:ptCount val="5"/>
                <c:pt idx="0">
                  <c:v>38.25</c:v>
                </c:pt>
                <c:pt idx="1">
                  <c:v>36.65</c:v>
                </c:pt>
                <c:pt idx="2">
                  <c:v>39.840000000000003</c:v>
                </c:pt>
                <c:pt idx="3">
                  <c:v>38.65</c:v>
                </c:pt>
                <c:pt idx="4">
                  <c:v>41.83</c:v>
                </c:pt>
              </c:numCache>
            </c:numRef>
          </c:val>
          <c:extLst xmlns:c16r2="http://schemas.microsoft.com/office/drawing/2015/06/chart">
            <c:ext xmlns:c16="http://schemas.microsoft.com/office/drawing/2014/chart" uri="{C3380CC4-5D6E-409C-BE32-E72D297353CC}">
              <c16:uniqueId val="{00000001-7750-48E3-A2A7-540BA178B843}"/>
            </c:ext>
          </c:extLst>
        </c:ser>
        <c:ser>
          <c:idx val="2"/>
          <c:order val="2"/>
          <c:tx>
            <c:strRef>
              <c:f>'wtp caprins2'!$A$4</c:f>
              <c:strCache>
                <c:ptCount val="1"/>
                <c:pt idx="0">
                  <c:v>1000</c:v>
                </c:pt>
              </c:strCache>
            </c:strRef>
          </c:tx>
          <c:spPr>
            <a:solidFill>
              <a:schemeClr val="accent3"/>
            </a:solidFill>
            <a:ln>
              <a:noFill/>
            </a:ln>
            <a:effectLst/>
          </c:spPr>
          <c:invertIfNegative val="0"/>
          <c:cat>
            <c:strRef>
              <c:f>'wtp caprins2'!$B$1:$F$1</c:f>
              <c:strCache>
                <c:ptCount val="5"/>
                <c:pt idx="0">
                  <c:v>retard des pluies</c:v>
                </c:pt>
                <c:pt idx="1">
                  <c:v>pluies insuffisantes</c:v>
                </c:pt>
                <c:pt idx="2">
                  <c:v>intempéries</c:v>
                </c:pt>
                <c:pt idx="3">
                  <c:v>vol du bétail</c:v>
                </c:pt>
                <c:pt idx="4">
                  <c:v>mort naturelle</c:v>
                </c:pt>
              </c:strCache>
            </c:strRef>
          </c:cat>
          <c:val>
            <c:numRef>
              <c:f>'wtp caprins2'!$B$4:$F$4</c:f>
              <c:numCache>
                <c:formatCode>General</c:formatCode>
                <c:ptCount val="5"/>
                <c:pt idx="0">
                  <c:v>17.93</c:v>
                </c:pt>
                <c:pt idx="1">
                  <c:v>19.12</c:v>
                </c:pt>
                <c:pt idx="2">
                  <c:v>18.329999999999998</c:v>
                </c:pt>
                <c:pt idx="3">
                  <c:v>19.12</c:v>
                </c:pt>
                <c:pt idx="4">
                  <c:v>17.53</c:v>
                </c:pt>
              </c:numCache>
            </c:numRef>
          </c:val>
          <c:extLst xmlns:c16r2="http://schemas.microsoft.com/office/drawing/2015/06/chart">
            <c:ext xmlns:c16="http://schemas.microsoft.com/office/drawing/2014/chart" uri="{C3380CC4-5D6E-409C-BE32-E72D297353CC}">
              <c16:uniqueId val="{00000002-7750-48E3-A2A7-540BA178B843}"/>
            </c:ext>
          </c:extLst>
        </c:ser>
        <c:ser>
          <c:idx val="3"/>
          <c:order val="3"/>
          <c:tx>
            <c:strRef>
              <c:f>'wtp caprins2'!$A$5</c:f>
              <c:strCache>
                <c:ptCount val="1"/>
                <c:pt idx="0">
                  <c:v>3000</c:v>
                </c:pt>
              </c:strCache>
            </c:strRef>
          </c:tx>
          <c:spPr>
            <a:solidFill>
              <a:schemeClr val="accent4"/>
            </a:solidFill>
            <a:ln>
              <a:noFill/>
            </a:ln>
            <a:effectLst/>
          </c:spPr>
          <c:invertIfNegative val="0"/>
          <c:cat>
            <c:strRef>
              <c:f>'wtp caprins2'!$B$1:$F$1</c:f>
              <c:strCache>
                <c:ptCount val="5"/>
                <c:pt idx="0">
                  <c:v>retard des pluies</c:v>
                </c:pt>
                <c:pt idx="1">
                  <c:v>pluies insuffisantes</c:v>
                </c:pt>
                <c:pt idx="2">
                  <c:v>intempéries</c:v>
                </c:pt>
                <c:pt idx="3">
                  <c:v>vol du bétail</c:v>
                </c:pt>
                <c:pt idx="4">
                  <c:v>mort naturelle</c:v>
                </c:pt>
              </c:strCache>
            </c:strRef>
          </c:cat>
          <c:val>
            <c:numRef>
              <c:f>'wtp caprins2'!$B$5:$F$5</c:f>
              <c:numCache>
                <c:formatCode>General</c:formatCode>
                <c:ptCount val="5"/>
                <c:pt idx="0">
                  <c:v>9.56</c:v>
                </c:pt>
                <c:pt idx="1">
                  <c:v>11.55</c:v>
                </c:pt>
                <c:pt idx="2">
                  <c:v>9.56</c:v>
                </c:pt>
                <c:pt idx="3">
                  <c:v>10.36</c:v>
                </c:pt>
                <c:pt idx="4">
                  <c:v>9.9600000000000009</c:v>
                </c:pt>
              </c:numCache>
            </c:numRef>
          </c:val>
          <c:extLst xmlns:c16r2="http://schemas.microsoft.com/office/drawing/2015/06/chart">
            <c:ext xmlns:c16="http://schemas.microsoft.com/office/drawing/2014/chart" uri="{C3380CC4-5D6E-409C-BE32-E72D297353CC}">
              <c16:uniqueId val="{00000003-7750-48E3-A2A7-540BA178B843}"/>
            </c:ext>
          </c:extLst>
        </c:ser>
        <c:ser>
          <c:idx val="4"/>
          <c:order val="4"/>
          <c:tx>
            <c:strRef>
              <c:f>'wtp caprins2'!$A$6</c:f>
              <c:strCache>
                <c:ptCount val="1"/>
                <c:pt idx="0">
                  <c:v>5000</c:v>
                </c:pt>
              </c:strCache>
            </c:strRef>
          </c:tx>
          <c:spPr>
            <a:solidFill>
              <a:schemeClr val="accent5"/>
            </a:solidFill>
            <a:ln>
              <a:noFill/>
            </a:ln>
            <a:effectLst/>
          </c:spPr>
          <c:invertIfNegative val="0"/>
          <c:cat>
            <c:strRef>
              <c:f>'wtp caprins2'!$B$1:$F$1</c:f>
              <c:strCache>
                <c:ptCount val="5"/>
                <c:pt idx="0">
                  <c:v>retard des pluies</c:v>
                </c:pt>
                <c:pt idx="1">
                  <c:v>pluies insuffisantes</c:v>
                </c:pt>
                <c:pt idx="2">
                  <c:v>intempéries</c:v>
                </c:pt>
                <c:pt idx="3">
                  <c:v>vol du bétail</c:v>
                </c:pt>
                <c:pt idx="4">
                  <c:v>mort naturelle</c:v>
                </c:pt>
              </c:strCache>
            </c:strRef>
          </c:cat>
          <c:val>
            <c:numRef>
              <c:f>'wtp caprins2'!$B$6:$F$6</c:f>
              <c:numCache>
                <c:formatCode>General</c:formatCode>
                <c:ptCount val="5"/>
                <c:pt idx="0">
                  <c:v>3.98</c:v>
                </c:pt>
                <c:pt idx="1">
                  <c:v>3.98</c:v>
                </c:pt>
                <c:pt idx="2">
                  <c:v>1.99</c:v>
                </c:pt>
                <c:pt idx="3">
                  <c:v>4.38</c:v>
                </c:pt>
                <c:pt idx="4">
                  <c:v>2.79</c:v>
                </c:pt>
              </c:numCache>
            </c:numRef>
          </c:val>
          <c:extLst xmlns:c16r2="http://schemas.microsoft.com/office/drawing/2015/06/chart">
            <c:ext xmlns:c16="http://schemas.microsoft.com/office/drawing/2014/chart" uri="{C3380CC4-5D6E-409C-BE32-E72D297353CC}">
              <c16:uniqueId val="{00000004-7750-48E3-A2A7-540BA178B843}"/>
            </c:ext>
          </c:extLst>
        </c:ser>
        <c:ser>
          <c:idx val="5"/>
          <c:order val="5"/>
          <c:tx>
            <c:strRef>
              <c:f>'wtp caprins2'!$A$7</c:f>
              <c:strCache>
                <c:ptCount val="1"/>
                <c:pt idx="0">
                  <c:v>7500</c:v>
                </c:pt>
              </c:strCache>
            </c:strRef>
          </c:tx>
          <c:spPr>
            <a:solidFill>
              <a:schemeClr val="accent6"/>
            </a:solidFill>
            <a:ln>
              <a:noFill/>
            </a:ln>
            <a:effectLst/>
          </c:spPr>
          <c:invertIfNegative val="0"/>
          <c:cat>
            <c:strRef>
              <c:f>'wtp caprins2'!$B$1:$F$1</c:f>
              <c:strCache>
                <c:ptCount val="5"/>
                <c:pt idx="0">
                  <c:v>retard des pluies</c:v>
                </c:pt>
                <c:pt idx="1">
                  <c:v>pluies insuffisantes</c:v>
                </c:pt>
                <c:pt idx="2">
                  <c:v>intempéries</c:v>
                </c:pt>
                <c:pt idx="3">
                  <c:v>vol du bétail</c:v>
                </c:pt>
                <c:pt idx="4">
                  <c:v>mort naturelle</c:v>
                </c:pt>
              </c:strCache>
            </c:strRef>
          </c:cat>
          <c:val>
            <c:numRef>
              <c:f>'wtp caprins2'!$B$7:$F$7</c:f>
              <c:numCache>
                <c:formatCode>General</c:formatCode>
                <c:ptCount val="5"/>
                <c:pt idx="0">
                  <c:v>0.4</c:v>
                </c:pt>
                <c:pt idx="1">
                  <c:v>0</c:v>
                </c:pt>
                <c:pt idx="2">
                  <c:v>0</c:v>
                </c:pt>
                <c:pt idx="3">
                  <c:v>0</c:v>
                </c:pt>
                <c:pt idx="4">
                  <c:v>0.4</c:v>
                </c:pt>
              </c:numCache>
            </c:numRef>
          </c:val>
          <c:extLst xmlns:c16r2="http://schemas.microsoft.com/office/drawing/2015/06/chart">
            <c:ext xmlns:c16="http://schemas.microsoft.com/office/drawing/2014/chart" uri="{C3380CC4-5D6E-409C-BE32-E72D297353CC}">
              <c16:uniqueId val="{00000005-7750-48E3-A2A7-540BA178B843}"/>
            </c:ext>
          </c:extLst>
        </c:ser>
        <c:ser>
          <c:idx val="6"/>
          <c:order val="6"/>
          <c:tx>
            <c:strRef>
              <c:f>'wtp caprins2'!$A$8</c:f>
              <c:strCache>
                <c:ptCount val="1"/>
                <c:pt idx="0">
                  <c:v>10000</c:v>
                </c:pt>
              </c:strCache>
            </c:strRef>
          </c:tx>
          <c:spPr>
            <a:solidFill>
              <a:schemeClr val="accent1">
                <a:lumMod val="60000"/>
              </a:schemeClr>
            </a:solidFill>
            <a:ln>
              <a:noFill/>
            </a:ln>
            <a:effectLst/>
          </c:spPr>
          <c:invertIfNegative val="0"/>
          <c:cat>
            <c:strRef>
              <c:f>'wtp caprins2'!$B$1:$F$1</c:f>
              <c:strCache>
                <c:ptCount val="5"/>
                <c:pt idx="0">
                  <c:v>retard des pluies</c:v>
                </c:pt>
                <c:pt idx="1">
                  <c:v>pluies insuffisantes</c:v>
                </c:pt>
                <c:pt idx="2">
                  <c:v>intempéries</c:v>
                </c:pt>
                <c:pt idx="3">
                  <c:v>vol du bétail</c:v>
                </c:pt>
                <c:pt idx="4">
                  <c:v>mort naturelle</c:v>
                </c:pt>
              </c:strCache>
            </c:strRef>
          </c:cat>
          <c:val>
            <c:numRef>
              <c:f>'wtp caprins2'!$B$8:$F$8</c:f>
              <c:numCache>
                <c:formatCode>General</c:formatCode>
                <c:ptCount val="5"/>
                <c:pt idx="0">
                  <c:v>1.2</c:v>
                </c:pt>
                <c:pt idx="1">
                  <c:v>1.2</c:v>
                </c:pt>
                <c:pt idx="2">
                  <c:v>0.8</c:v>
                </c:pt>
                <c:pt idx="3">
                  <c:v>0.4</c:v>
                </c:pt>
                <c:pt idx="4">
                  <c:v>0</c:v>
                </c:pt>
              </c:numCache>
            </c:numRef>
          </c:val>
          <c:extLst xmlns:c16r2="http://schemas.microsoft.com/office/drawing/2015/06/chart">
            <c:ext xmlns:c16="http://schemas.microsoft.com/office/drawing/2014/chart" uri="{C3380CC4-5D6E-409C-BE32-E72D297353CC}">
              <c16:uniqueId val="{00000006-7750-48E3-A2A7-540BA178B843}"/>
            </c:ext>
          </c:extLst>
        </c:ser>
        <c:ser>
          <c:idx val="7"/>
          <c:order val="7"/>
          <c:tx>
            <c:strRef>
              <c:f>'wtp caprins2'!$A$9</c:f>
              <c:strCache>
                <c:ptCount val="1"/>
                <c:pt idx="0">
                  <c:v>plus de 10000</c:v>
                </c:pt>
              </c:strCache>
            </c:strRef>
          </c:tx>
          <c:spPr>
            <a:solidFill>
              <a:schemeClr val="accent2">
                <a:lumMod val="60000"/>
              </a:schemeClr>
            </a:solidFill>
            <a:ln>
              <a:noFill/>
            </a:ln>
            <a:effectLst/>
          </c:spPr>
          <c:invertIfNegative val="0"/>
          <c:cat>
            <c:strRef>
              <c:f>'wtp caprins2'!$B$1:$F$1</c:f>
              <c:strCache>
                <c:ptCount val="5"/>
                <c:pt idx="0">
                  <c:v>retard des pluies</c:v>
                </c:pt>
                <c:pt idx="1">
                  <c:v>pluies insuffisantes</c:v>
                </c:pt>
                <c:pt idx="2">
                  <c:v>intempéries</c:v>
                </c:pt>
                <c:pt idx="3">
                  <c:v>vol du bétail</c:v>
                </c:pt>
                <c:pt idx="4">
                  <c:v>mort naturelle</c:v>
                </c:pt>
              </c:strCache>
            </c:strRef>
          </c:cat>
          <c:val>
            <c:numRef>
              <c:f>'wtp caprins2'!$B$9:$F$9</c:f>
              <c:numCache>
                <c:formatCode>General</c:formatCode>
                <c:ptCount val="5"/>
                <c:pt idx="0">
                  <c:v>0.4</c:v>
                </c:pt>
                <c:pt idx="1">
                  <c:v>0.4</c:v>
                </c:pt>
                <c:pt idx="2">
                  <c:v>0.4</c:v>
                </c:pt>
                <c:pt idx="3">
                  <c:v>0.4</c:v>
                </c:pt>
                <c:pt idx="4">
                  <c:v>0</c:v>
                </c:pt>
              </c:numCache>
            </c:numRef>
          </c:val>
          <c:extLst xmlns:c16r2="http://schemas.microsoft.com/office/drawing/2015/06/chart">
            <c:ext xmlns:c16="http://schemas.microsoft.com/office/drawing/2014/chart" uri="{C3380CC4-5D6E-409C-BE32-E72D297353CC}">
              <c16:uniqueId val="{00000007-7750-48E3-A2A7-540BA178B843}"/>
            </c:ext>
          </c:extLst>
        </c:ser>
        <c:dLbls>
          <c:showLegendKey val="0"/>
          <c:showVal val="0"/>
          <c:showCatName val="0"/>
          <c:showSerName val="0"/>
          <c:showPercent val="0"/>
          <c:showBubbleSize val="0"/>
        </c:dLbls>
        <c:gapWidth val="219"/>
        <c:overlap val="-27"/>
        <c:axId val="382255200"/>
        <c:axId val="382255592"/>
      </c:barChart>
      <c:catAx>
        <c:axId val="382255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82255592"/>
        <c:crosses val="autoZero"/>
        <c:auto val="1"/>
        <c:lblAlgn val="ctr"/>
        <c:lblOffset val="100"/>
        <c:noMultiLvlLbl val="0"/>
      </c:catAx>
      <c:valAx>
        <c:axId val="382255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82255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fr-FR" sz="1400" b="0" i="0" u="none" strike="noStrike" kern="1200" spc="0" baseline="0">
                <a:solidFill>
                  <a:sysClr val="windowText" lastClr="000000">
                    <a:lumMod val="65000"/>
                    <a:lumOff val="35000"/>
                  </a:sysClr>
                </a:solidFill>
                <a:latin typeface="+mn-lt"/>
                <a:ea typeface="+mn-ea"/>
                <a:cs typeface="+mn-cs"/>
              </a:rPr>
              <a:t>Combien êtes vous prêts à payer pour assurer les 5 plus importants caprins? (en % d'éleveurs)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fr-FR"/>
        </a:p>
      </c:txPr>
    </c:title>
    <c:autoTitleDeleted val="0"/>
    <c:plotArea>
      <c:layout/>
      <c:barChart>
        <c:barDir val="col"/>
        <c:grouping val="clustered"/>
        <c:varyColors val="0"/>
        <c:ser>
          <c:idx val="0"/>
          <c:order val="0"/>
          <c:tx>
            <c:strRef>
              <c:f>'wtp caprins2'!$A$14</c:f>
              <c:strCache>
                <c:ptCount val="1"/>
                <c:pt idx="0">
                  <c:v>rien</c:v>
                </c:pt>
              </c:strCache>
            </c:strRef>
          </c:tx>
          <c:spPr>
            <a:solidFill>
              <a:schemeClr val="accent1"/>
            </a:solidFill>
            <a:ln>
              <a:noFill/>
            </a:ln>
            <a:effectLst/>
          </c:spPr>
          <c:invertIfNegative val="0"/>
          <c:cat>
            <c:strRef>
              <c:f>'wtp caprins2'!$B$13:$F$13</c:f>
              <c:strCache>
                <c:ptCount val="5"/>
                <c:pt idx="0">
                  <c:v>retard des pluies</c:v>
                </c:pt>
                <c:pt idx="1">
                  <c:v>pluies insuffisantes</c:v>
                </c:pt>
                <c:pt idx="2">
                  <c:v>intempéries</c:v>
                </c:pt>
                <c:pt idx="3">
                  <c:v>vol du bétail</c:v>
                </c:pt>
                <c:pt idx="4">
                  <c:v>mort naturelle</c:v>
                </c:pt>
              </c:strCache>
            </c:strRef>
          </c:cat>
          <c:val>
            <c:numRef>
              <c:f>'wtp caprins2'!$B$14:$F$14</c:f>
              <c:numCache>
                <c:formatCode>General</c:formatCode>
                <c:ptCount val="5"/>
                <c:pt idx="0">
                  <c:v>15.94</c:v>
                </c:pt>
                <c:pt idx="1">
                  <c:v>15.14</c:v>
                </c:pt>
                <c:pt idx="2">
                  <c:v>16.329999999999998</c:v>
                </c:pt>
                <c:pt idx="3">
                  <c:v>15.94</c:v>
                </c:pt>
                <c:pt idx="4">
                  <c:v>16.329999999999998</c:v>
                </c:pt>
              </c:numCache>
            </c:numRef>
          </c:val>
          <c:extLst xmlns:c16r2="http://schemas.microsoft.com/office/drawing/2015/06/chart">
            <c:ext xmlns:c16="http://schemas.microsoft.com/office/drawing/2014/chart" uri="{C3380CC4-5D6E-409C-BE32-E72D297353CC}">
              <c16:uniqueId val="{00000000-7212-4346-BF73-89AD852CE056}"/>
            </c:ext>
          </c:extLst>
        </c:ser>
        <c:ser>
          <c:idx val="1"/>
          <c:order val="1"/>
          <c:tx>
            <c:strRef>
              <c:f>'wtp caprins2'!$A$15</c:f>
              <c:strCache>
                <c:ptCount val="1"/>
                <c:pt idx="0">
                  <c:v>500</c:v>
                </c:pt>
              </c:strCache>
            </c:strRef>
          </c:tx>
          <c:spPr>
            <a:solidFill>
              <a:schemeClr val="accent2"/>
            </a:solidFill>
            <a:ln>
              <a:noFill/>
            </a:ln>
            <a:effectLst/>
          </c:spPr>
          <c:invertIfNegative val="0"/>
          <c:cat>
            <c:strRef>
              <c:f>'wtp caprins2'!$B$13:$F$13</c:f>
              <c:strCache>
                <c:ptCount val="5"/>
                <c:pt idx="0">
                  <c:v>retard des pluies</c:v>
                </c:pt>
                <c:pt idx="1">
                  <c:v>pluies insuffisantes</c:v>
                </c:pt>
                <c:pt idx="2">
                  <c:v>intempéries</c:v>
                </c:pt>
                <c:pt idx="3">
                  <c:v>vol du bétail</c:v>
                </c:pt>
                <c:pt idx="4">
                  <c:v>mort naturelle</c:v>
                </c:pt>
              </c:strCache>
            </c:strRef>
          </c:cat>
          <c:val>
            <c:numRef>
              <c:f>'wtp caprins2'!$B$15:$F$15</c:f>
              <c:numCache>
                <c:formatCode>General</c:formatCode>
                <c:ptCount val="5"/>
                <c:pt idx="0">
                  <c:v>11.55</c:v>
                </c:pt>
                <c:pt idx="1">
                  <c:v>13.94</c:v>
                </c:pt>
                <c:pt idx="2">
                  <c:v>14.74</c:v>
                </c:pt>
                <c:pt idx="3">
                  <c:v>13.15</c:v>
                </c:pt>
                <c:pt idx="4">
                  <c:v>15.54</c:v>
                </c:pt>
              </c:numCache>
            </c:numRef>
          </c:val>
          <c:extLst xmlns:c16r2="http://schemas.microsoft.com/office/drawing/2015/06/chart">
            <c:ext xmlns:c16="http://schemas.microsoft.com/office/drawing/2014/chart" uri="{C3380CC4-5D6E-409C-BE32-E72D297353CC}">
              <c16:uniqueId val="{00000001-7212-4346-BF73-89AD852CE056}"/>
            </c:ext>
          </c:extLst>
        </c:ser>
        <c:ser>
          <c:idx val="2"/>
          <c:order val="2"/>
          <c:tx>
            <c:strRef>
              <c:f>'wtp caprins2'!$A$16</c:f>
              <c:strCache>
                <c:ptCount val="1"/>
                <c:pt idx="0">
                  <c:v>1000</c:v>
                </c:pt>
              </c:strCache>
            </c:strRef>
          </c:tx>
          <c:spPr>
            <a:solidFill>
              <a:schemeClr val="accent3"/>
            </a:solidFill>
            <a:ln>
              <a:noFill/>
            </a:ln>
            <a:effectLst/>
          </c:spPr>
          <c:invertIfNegative val="0"/>
          <c:cat>
            <c:strRef>
              <c:f>'wtp caprins2'!$B$13:$F$13</c:f>
              <c:strCache>
                <c:ptCount val="5"/>
                <c:pt idx="0">
                  <c:v>retard des pluies</c:v>
                </c:pt>
                <c:pt idx="1">
                  <c:v>pluies insuffisantes</c:v>
                </c:pt>
                <c:pt idx="2">
                  <c:v>intempéries</c:v>
                </c:pt>
                <c:pt idx="3">
                  <c:v>vol du bétail</c:v>
                </c:pt>
                <c:pt idx="4">
                  <c:v>mort naturelle</c:v>
                </c:pt>
              </c:strCache>
            </c:strRef>
          </c:cat>
          <c:val>
            <c:numRef>
              <c:f>'wtp caprins2'!$B$16:$F$16</c:f>
              <c:numCache>
                <c:formatCode>General</c:formatCode>
                <c:ptCount val="5"/>
                <c:pt idx="0">
                  <c:v>21.12</c:v>
                </c:pt>
                <c:pt idx="1">
                  <c:v>17.13</c:v>
                </c:pt>
                <c:pt idx="2">
                  <c:v>22.71</c:v>
                </c:pt>
                <c:pt idx="3">
                  <c:v>19.920000000000002</c:v>
                </c:pt>
                <c:pt idx="4">
                  <c:v>21.51</c:v>
                </c:pt>
              </c:numCache>
            </c:numRef>
          </c:val>
          <c:extLst xmlns:c16r2="http://schemas.microsoft.com/office/drawing/2015/06/chart">
            <c:ext xmlns:c16="http://schemas.microsoft.com/office/drawing/2014/chart" uri="{C3380CC4-5D6E-409C-BE32-E72D297353CC}">
              <c16:uniqueId val="{00000002-7212-4346-BF73-89AD852CE056}"/>
            </c:ext>
          </c:extLst>
        </c:ser>
        <c:ser>
          <c:idx val="3"/>
          <c:order val="3"/>
          <c:tx>
            <c:strRef>
              <c:f>'wtp caprins2'!$A$17</c:f>
              <c:strCache>
                <c:ptCount val="1"/>
                <c:pt idx="0">
                  <c:v>3000</c:v>
                </c:pt>
              </c:strCache>
            </c:strRef>
          </c:tx>
          <c:spPr>
            <a:solidFill>
              <a:schemeClr val="accent4"/>
            </a:solidFill>
            <a:ln>
              <a:noFill/>
            </a:ln>
            <a:effectLst/>
          </c:spPr>
          <c:invertIfNegative val="0"/>
          <c:cat>
            <c:strRef>
              <c:f>'wtp caprins2'!$B$13:$F$13</c:f>
              <c:strCache>
                <c:ptCount val="5"/>
                <c:pt idx="0">
                  <c:v>retard des pluies</c:v>
                </c:pt>
                <c:pt idx="1">
                  <c:v>pluies insuffisantes</c:v>
                </c:pt>
                <c:pt idx="2">
                  <c:v>intempéries</c:v>
                </c:pt>
                <c:pt idx="3">
                  <c:v>vol du bétail</c:v>
                </c:pt>
                <c:pt idx="4">
                  <c:v>mort naturelle</c:v>
                </c:pt>
              </c:strCache>
            </c:strRef>
          </c:cat>
          <c:val>
            <c:numRef>
              <c:f>'wtp caprins2'!$B$17:$F$17</c:f>
              <c:numCache>
                <c:formatCode>General</c:formatCode>
                <c:ptCount val="5"/>
                <c:pt idx="0">
                  <c:v>23.9</c:v>
                </c:pt>
                <c:pt idx="1">
                  <c:v>27.09</c:v>
                </c:pt>
                <c:pt idx="2">
                  <c:v>25.1</c:v>
                </c:pt>
                <c:pt idx="3">
                  <c:v>23.11</c:v>
                </c:pt>
                <c:pt idx="4">
                  <c:v>25.9</c:v>
                </c:pt>
              </c:numCache>
            </c:numRef>
          </c:val>
          <c:extLst xmlns:c16r2="http://schemas.microsoft.com/office/drawing/2015/06/chart">
            <c:ext xmlns:c16="http://schemas.microsoft.com/office/drawing/2014/chart" uri="{C3380CC4-5D6E-409C-BE32-E72D297353CC}">
              <c16:uniqueId val="{00000003-7212-4346-BF73-89AD852CE056}"/>
            </c:ext>
          </c:extLst>
        </c:ser>
        <c:ser>
          <c:idx val="4"/>
          <c:order val="4"/>
          <c:tx>
            <c:strRef>
              <c:f>'wtp caprins2'!$A$18</c:f>
              <c:strCache>
                <c:ptCount val="1"/>
                <c:pt idx="0">
                  <c:v>5000</c:v>
                </c:pt>
              </c:strCache>
            </c:strRef>
          </c:tx>
          <c:spPr>
            <a:solidFill>
              <a:schemeClr val="accent5"/>
            </a:solidFill>
            <a:ln>
              <a:noFill/>
            </a:ln>
            <a:effectLst/>
          </c:spPr>
          <c:invertIfNegative val="0"/>
          <c:cat>
            <c:strRef>
              <c:f>'wtp caprins2'!$B$13:$F$13</c:f>
              <c:strCache>
                <c:ptCount val="5"/>
                <c:pt idx="0">
                  <c:v>retard des pluies</c:v>
                </c:pt>
                <c:pt idx="1">
                  <c:v>pluies insuffisantes</c:v>
                </c:pt>
                <c:pt idx="2">
                  <c:v>intempéries</c:v>
                </c:pt>
                <c:pt idx="3">
                  <c:v>vol du bétail</c:v>
                </c:pt>
                <c:pt idx="4">
                  <c:v>mort naturelle</c:v>
                </c:pt>
              </c:strCache>
            </c:strRef>
          </c:cat>
          <c:val>
            <c:numRef>
              <c:f>'wtp caprins2'!$B$18:$F$18</c:f>
              <c:numCache>
                <c:formatCode>General</c:formatCode>
                <c:ptCount val="5"/>
                <c:pt idx="0">
                  <c:v>13.15</c:v>
                </c:pt>
                <c:pt idx="1">
                  <c:v>13.15</c:v>
                </c:pt>
                <c:pt idx="2">
                  <c:v>11.95</c:v>
                </c:pt>
                <c:pt idx="3">
                  <c:v>14.74</c:v>
                </c:pt>
                <c:pt idx="4">
                  <c:v>11.95</c:v>
                </c:pt>
              </c:numCache>
            </c:numRef>
          </c:val>
          <c:extLst xmlns:c16r2="http://schemas.microsoft.com/office/drawing/2015/06/chart">
            <c:ext xmlns:c16="http://schemas.microsoft.com/office/drawing/2014/chart" uri="{C3380CC4-5D6E-409C-BE32-E72D297353CC}">
              <c16:uniqueId val="{00000004-7212-4346-BF73-89AD852CE056}"/>
            </c:ext>
          </c:extLst>
        </c:ser>
        <c:ser>
          <c:idx val="5"/>
          <c:order val="5"/>
          <c:tx>
            <c:strRef>
              <c:f>'wtp caprins2'!$A$19</c:f>
              <c:strCache>
                <c:ptCount val="1"/>
                <c:pt idx="0">
                  <c:v>7500</c:v>
                </c:pt>
              </c:strCache>
            </c:strRef>
          </c:tx>
          <c:spPr>
            <a:solidFill>
              <a:schemeClr val="accent6"/>
            </a:solidFill>
            <a:ln>
              <a:noFill/>
            </a:ln>
            <a:effectLst/>
          </c:spPr>
          <c:invertIfNegative val="0"/>
          <c:cat>
            <c:strRef>
              <c:f>'wtp caprins2'!$B$13:$F$13</c:f>
              <c:strCache>
                <c:ptCount val="5"/>
                <c:pt idx="0">
                  <c:v>retard des pluies</c:v>
                </c:pt>
                <c:pt idx="1">
                  <c:v>pluies insuffisantes</c:v>
                </c:pt>
                <c:pt idx="2">
                  <c:v>intempéries</c:v>
                </c:pt>
                <c:pt idx="3">
                  <c:v>vol du bétail</c:v>
                </c:pt>
                <c:pt idx="4">
                  <c:v>mort naturelle</c:v>
                </c:pt>
              </c:strCache>
            </c:strRef>
          </c:cat>
          <c:val>
            <c:numRef>
              <c:f>'wtp caprins2'!$B$19:$F$19</c:f>
              <c:numCache>
                <c:formatCode>General</c:formatCode>
                <c:ptCount val="5"/>
                <c:pt idx="0">
                  <c:v>4.38</c:v>
                </c:pt>
                <c:pt idx="1">
                  <c:v>3.59</c:v>
                </c:pt>
                <c:pt idx="2">
                  <c:v>1.99</c:v>
                </c:pt>
                <c:pt idx="3">
                  <c:v>2.79</c:v>
                </c:pt>
                <c:pt idx="4">
                  <c:v>1.2</c:v>
                </c:pt>
              </c:numCache>
            </c:numRef>
          </c:val>
          <c:extLst xmlns:c16r2="http://schemas.microsoft.com/office/drawing/2015/06/chart">
            <c:ext xmlns:c16="http://schemas.microsoft.com/office/drawing/2014/chart" uri="{C3380CC4-5D6E-409C-BE32-E72D297353CC}">
              <c16:uniqueId val="{00000005-7212-4346-BF73-89AD852CE056}"/>
            </c:ext>
          </c:extLst>
        </c:ser>
        <c:ser>
          <c:idx val="6"/>
          <c:order val="6"/>
          <c:tx>
            <c:strRef>
              <c:f>'wtp caprins2'!$A$20</c:f>
              <c:strCache>
                <c:ptCount val="1"/>
                <c:pt idx="0">
                  <c:v>10000</c:v>
                </c:pt>
              </c:strCache>
            </c:strRef>
          </c:tx>
          <c:spPr>
            <a:solidFill>
              <a:schemeClr val="accent1">
                <a:lumMod val="60000"/>
              </a:schemeClr>
            </a:solidFill>
            <a:ln>
              <a:noFill/>
            </a:ln>
            <a:effectLst/>
          </c:spPr>
          <c:invertIfNegative val="0"/>
          <c:cat>
            <c:strRef>
              <c:f>'wtp caprins2'!$B$13:$F$13</c:f>
              <c:strCache>
                <c:ptCount val="5"/>
                <c:pt idx="0">
                  <c:v>retard des pluies</c:v>
                </c:pt>
                <c:pt idx="1">
                  <c:v>pluies insuffisantes</c:v>
                </c:pt>
                <c:pt idx="2">
                  <c:v>intempéries</c:v>
                </c:pt>
                <c:pt idx="3">
                  <c:v>vol du bétail</c:v>
                </c:pt>
                <c:pt idx="4">
                  <c:v>mort naturelle</c:v>
                </c:pt>
              </c:strCache>
            </c:strRef>
          </c:cat>
          <c:val>
            <c:numRef>
              <c:f>'wtp caprins2'!$B$20:$F$20</c:f>
              <c:numCache>
                <c:formatCode>General</c:formatCode>
                <c:ptCount val="5"/>
                <c:pt idx="0">
                  <c:v>5.58</c:v>
                </c:pt>
                <c:pt idx="1">
                  <c:v>5.58</c:v>
                </c:pt>
                <c:pt idx="2">
                  <c:v>3.59</c:v>
                </c:pt>
                <c:pt idx="3">
                  <c:v>5.18</c:v>
                </c:pt>
                <c:pt idx="4">
                  <c:v>3.98</c:v>
                </c:pt>
              </c:numCache>
            </c:numRef>
          </c:val>
          <c:extLst xmlns:c16r2="http://schemas.microsoft.com/office/drawing/2015/06/chart">
            <c:ext xmlns:c16="http://schemas.microsoft.com/office/drawing/2014/chart" uri="{C3380CC4-5D6E-409C-BE32-E72D297353CC}">
              <c16:uniqueId val="{00000006-7212-4346-BF73-89AD852CE056}"/>
            </c:ext>
          </c:extLst>
        </c:ser>
        <c:ser>
          <c:idx val="7"/>
          <c:order val="7"/>
          <c:tx>
            <c:strRef>
              <c:f>'wtp caprins2'!$A$21</c:f>
              <c:strCache>
                <c:ptCount val="1"/>
                <c:pt idx="0">
                  <c:v>plus de 10000</c:v>
                </c:pt>
              </c:strCache>
            </c:strRef>
          </c:tx>
          <c:spPr>
            <a:solidFill>
              <a:schemeClr val="accent2">
                <a:lumMod val="60000"/>
              </a:schemeClr>
            </a:solidFill>
            <a:ln>
              <a:noFill/>
            </a:ln>
            <a:effectLst/>
          </c:spPr>
          <c:invertIfNegative val="0"/>
          <c:cat>
            <c:strRef>
              <c:f>'wtp caprins2'!$B$13:$F$13</c:f>
              <c:strCache>
                <c:ptCount val="5"/>
                <c:pt idx="0">
                  <c:v>retard des pluies</c:v>
                </c:pt>
                <c:pt idx="1">
                  <c:v>pluies insuffisantes</c:v>
                </c:pt>
                <c:pt idx="2">
                  <c:v>intempéries</c:v>
                </c:pt>
                <c:pt idx="3">
                  <c:v>vol du bétail</c:v>
                </c:pt>
                <c:pt idx="4">
                  <c:v>mort naturelle</c:v>
                </c:pt>
              </c:strCache>
            </c:strRef>
          </c:cat>
          <c:val>
            <c:numRef>
              <c:f>'wtp caprins2'!$B$21:$F$21</c:f>
              <c:numCache>
                <c:formatCode>General</c:formatCode>
                <c:ptCount val="5"/>
                <c:pt idx="0">
                  <c:v>4.38</c:v>
                </c:pt>
                <c:pt idx="1">
                  <c:v>4.38</c:v>
                </c:pt>
                <c:pt idx="2">
                  <c:v>3.59</c:v>
                </c:pt>
                <c:pt idx="3">
                  <c:v>5.18</c:v>
                </c:pt>
                <c:pt idx="4">
                  <c:v>3.59</c:v>
                </c:pt>
              </c:numCache>
            </c:numRef>
          </c:val>
          <c:extLst xmlns:c16r2="http://schemas.microsoft.com/office/drawing/2015/06/chart">
            <c:ext xmlns:c16="http://schemas.microsoft.com/office/drawing/2014/chart" uri="{C3380CC4-5D6E-409C-BE32-E72D297353CC}">
              <c16:uniqueId val="{00000007-7212-4346-BF73-89AD852CE056}"/>
            </c:ext>
          </c:extLst>
        </c:ser>
        <c:dLbls>
          <c:showLegendKey val="0"/>
          <c:showVal val="0"/>
          <c:showCatName val="0"/>
          <c:showSerName val="0"/>
          <c:showPercent val="0"/>
          <c:showBubbleSize val="0"/>
        </c:dLbls>
        <c:gapWidth val="219"/>
        <c:overlap val="-27"/>
        <c:axId val="382256376"/>
        <c:axId val="382256768"/>
      </c:barChart>
      <c:catAx>
        <c:axId val="382256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82256768"/>
        <c:crosses val="autoZero"/>
        <c:auto val="1"/>
        <c:lblAlgn val="ctr"/>
        <c:lblOffset val="100"/>
        <c:noMultiLvlLbl val="0"/>
      </c:catAx>
      <c:valAx>
        <c:axId val="382256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82256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fr-FR" sz="1400" b="0" i="0" u="none" strike="noStrike" kern="1200" spc="0" baseline="0">
                <a:solidFill>
                  <a:sysClr val="windowText" lastClr="000000">
                    <a:lumMod val="65000"/>
                    <a:lumOff val="35000"/>
                  </a:sysClr>
                </a:solidFill>
                <a:latin typeface="+mn-lt"/>
                <a:ea typeface="+mn-ea"/>
                <a:cs typeface="+mn-cs"/>
              </a:rPr>
              <a:t>Combien êtes vous prêts à payer pour assurer tout vos caprins? (en % d'éleveurs)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fr-FR"/>
        </a:p>
      </c:txPr>
    </c:title>
    <c:autoTitleDeleted val="0"/>
    <c:plotArea>
      <c:layout/>
      <c:barChart>
        <c:barDir val="col"/>
        <c:grouping val="clustered"/>
        <c:varyColors val="0"/>
        <c:ser>
          <c:idx val="0"/>
          <c:order val="0"/>
          <c:tx>
            <c:strRef>
              <c:f>'wtp caprins2'!$A$24</c:f>
              <c:strCache>
                <c:ptCount val="1"/>
                <c:pt idx="0">
                  <c:v>rien</c:v>
                </c:pt>
              </c:strCache>
            </c:strRef>
          </c:tx>
          <c:spPr>
            <a:solidFill>
              <a:schemeClr val="accent1"/>
            </a:solidFill>
            <a:ln>
              <a:noFill/>
            </a:ln>
            <a:effectLst/>
          </c:spPr>
          <c:invertIfNegative val="0"/>
          <c:cat>
            <c:strRef>
              <c:f>'wtp caprins2'!$B$23:$F$23</c:f>
              <c:strCache>
                <c:ptCount val="5"/>
                <c:pt idx="0">
                  <c:v>retard des pluies</c:v>
                </c:pt>
                <c:pt idx="1">
                  <c:v>pluies insuffisantes</c:v>
                </c:pt>
                <c:pt idx="2">
                  <c:v>intempéries</c:v>
                </c:pt>
                <c:pt idx="3">
                  <c:v>vol du bétail</c:v>
                </c:pt>
                <c:pt idx="4">
                  <c:v>mort naturelle</c:v>
                </c:pt>
              </c:strCache>
            </c:strRef>
          </c:cat>
          <c:val>
            <c:numRef>
              <c:f>'wtp caprins2'!$B$24:$F$24</c:f>
              <c:numCache>
                <c:formatCode>General</c:formatCode>
                <c:ptCount val="5"/>
                <c:pt idx="0">
                  <c:v>11.16</c:v>
                </c:pt>
                <c:pt idx="1">
                  <c:v>10.76</c:v>
                </c:pt>
                <c:pt idx="2">
                  <c:v>13.15</c:v>
                </c:pt>
                <c:pt idx="3">
                  <c:v>12.35</c:v>
                </c:pt>
                <c:pt idx="4">
                  <c:v>13.94</c:v>
                </c:pt>
              </c:numCache>
            </c:numRef>
          </c:val>
          <c:extLst xmlns:c16r2="http://schemas.microsoft.com/office/drawing/2015/06/chart">
            <c:ext xmlns:c16="http://schemas.microsoft.com/office/drawing/2014/chart" uri="{C3380CC4-5D6E-409C-BE32-E72D297353CC}">
              <c16:uniqueId val="{00000000-8CFF-420F-9771-0A2E015B2509}"/>
            </c:ext>
          </c:extLst>
        </c:ser>
        <c:ser>
          <c:idx val="1"/>
          <c:order val="1"/>
          <c:tx>
            <c:strRef>
              <c:f>'wtp caprins2'!$A$25</c:f>
              <c:strCache>
                <c:ptCount val="1"/>
                <c:pt idx="0">
                  <c:v>500</c:v>
                </c:pt>
              </c:strCache>
            </c:strRef>
          </c:tx>
          <c:spPr>
            <a:solidFill>
              <a:schemeClr val="accent2"/>
            </a:solidFill>
            <a:ln>
              <a:noFill/>
            </a:ln>
            <a:effectLst/>
          </c:spPr>
          <c:invertIfNegative val="0"/>
          <c:cat>
            <c:strRef>
              <c:f>'wtp caprins2'!$B$23:$F$23</c:f>
              <c:strCache>
                <c:ptCount val="5"/>
                <c:pt idx="0">
                  <c:v>retard des pluies</c:v>
                </c:pt>
                <c:pt idx="1">
                  <c:v>pluies insuffisantes</c:v>
                </c:pt>
                <c:pt idx="2">
                  <c:v>intempéries</c:v>
                </c:pt>
                <c:pt idx="3">
                  <c:v>vol du bétail</c:v>
                </c:pt>
                <c:pt idx="4">
                  <c:v>mort naturelle</c:v>
                </c:pt>
              </c:strCache>
            </c:strRef>
          </c:cat>
          <c:val>
            <c:numRef>
              <c:f>'wtp caprins2'!$B$25:$F$25</c:f>
              <c:numCache>
                <c:formatCode>General</c:formatCode>
                <c:ptCount val="5"/>
                <c:pt idx="0">
                  <c:v>5.18</c:v>
                </c:pt>
                <c:pt idx="1">
                  <c:v>4.78</c:v>
                </c:pt>
                <c:pt idx="2">
                  <c:v>5.58</c:v>
                </c:pt>
                <c:pt idx="3">
                  <c:v>6.37</c:v>
                </c:pt>
                <c:pt idx="4">
                  <c:v>5.98</c:v>
                </c:pt>
              </c:numCache>
            </c:numRef>
          </c:val>
          <c:extLst xmlns:c16r2="http://schemas.microsoft.com/office/drawing/2015/06/chart">
            <c:ext xmlns:c16="http://schemas.microsoft.com/office/drawing/2014/chart" uri="{C3380CC4-5D6E-409C-BE32-E72D297353CC}">
              <c16:uniqueId val="{00000001-8CFF-420F-9771-0A2E015B2509}"/>
            </c:ext>
          </c:extLst>
        </c:ser>
        <c:ser>
          <c:idx val="2"/>
          <c:order val="2"/>
          <c:tx>
            <c:strRef>
              <c:f>'wtp caprins2'!$A$26</c:f>
              <c:strCache>
                <c:ptCount val="1"/>
                <c:pt idx="0">
                  <c:v>1000</c:v>
                </c:pt>
              </c:strCache>
            </c:strRef>
          </c:tx>
          <c:spPr>
            <a:solidFill>
              <a:schemeClr val="accent3"/>
            </a:solidFill>
            <a:ln>
              <a:noFill/>
            </a:ln>
            <a:effectLst/>
          </c:spPr>
          <c:invertIfNegative val="0"/>
          <c:cat>
            <c:strRef>
              <c:f>'wtp caprins2'!$B$23:$F$23</c:f>
              <c:strCache>
                <c:ptCount val="5"/>
                <c:pt idx="0">
                  <c:v>retard des pluies</c:v>
                </c:pt>
                <c:pt idx="1">
                  <c:v>pluies insuffisantes</c:v>
                </c:pt>
                <c:pt idx="2">
                  <c:v>intempéries</c:v>
                </c:pt>
                <c:pt idx="3">
                  <c:v>vol du bétail</c:v>
                </c:pt>
                <c:pt idx="4">
                  <c:v>mort naturelle</c:v>
                </c:pt>
              </c:strCache>
            </c:strRef>
          </c:cat>
          <c:val>
            <c:numRef>
              <c:f>'wtp caprins2'!$B$26:$F$26</c:f>
              <c:numCache>
                <c:formatCode>General</c:formatCode>
                <c:ptCount val="5"/>
                <c:pt idx="0">
                  <c:v>10.36</c:v>
                </c:pt>
                <c:pt idx="1">
                  <c:v>11.16</c:v>
                </c:pt>
                <c:pt idx="2">
                  <c:v>12.35</c:v>
                </c:pt>
                <c:pt idx="3">
                  <c:v>12.35</c:v>
                </c:pt>
                <c:pt idx="4">
                  <c:v>14.34</c:v>
                </c:pt>
              </c:numCache>
            </c:numRef>
          </c:val>
          <c:extLst xmlns:c16r2="http://schemas.microsoft.com/office/drawing/2015/06/chart">
            <c:ext xmlns:c16="http://schemas.microsoft.com/office/drawing/2014/chart" uri="{C3380CC4-5D6E-409C-BE32-E72D297353CC}">
              <c16:uniqueId val="{00000002-8CFF-420F-9771-0A2E015B2509}"/>
            </c:ext>
          </c:extLst>
        </c:ser>
        <c:ser>
          <c:idx val="3"/>
          <c:order val="3"/>
          <c:tx>
            <c:strRef>
              <c:f>'wtp caprins2'!$A$27</c:f>
              <c:strCache>
                <c:ptCount val="1"/>
                <c:pt idx="0">
                  <c:v>3000</c:v>
                </c:pt>
              </c:strCache>
            </c:strRef>
          </c:tx>
          <c:spPr>
            <a:solidFill>
              <a:schemeClr val="accent4"/>
            </a:solidFill>
            <a:ln>
              <a:noFill/>
            </a:ln>
            <a:effectLst/>
          </c:spPr>
          <c:invertIfNegative val="0"/>
          <c:cat>
            <c:strRef>
              <c:f>'wtp caprins2'!$B$23:$F$23</c:f>
              <c:strCache>
                <c:ptCount val="5"/>
                <c:pt idx="0">
                  <c:v>retard des pluies</c:v>
                </c:pt>
                <c:pt idx="1">
                  <c:v>pluies insuffisantes</c:v>
                </c:pt>
                <c:pt idx="2">
                  <c:v>intempéries</c:v>
                </c:pt>
                <c:pt idx="3">
                  <c:v>vol du bétail</c:v>
                </c:pt>
                <c:pt idx="4">
                  <c:v>mort naturelle</c:v>
                </c:pt>
              </c:strCache>
            </c:strRef>
          </c:cat>
          <c:val>
            <c:numRef>
              <c:f>'wtp caprins2'!$B$27:$F$27</c:f>
              <c:numCache>
                <c:formatCode>General</c:formatCode>
                <c:ptCount val="5"/>
                <c:pt idx="0">
                  <c:v>17.93</c:v>
                </c:pt>
                <c:pt idx="1">
                  <c:v>19.52</c:v>
                </c:pt>
                <c:pt idx="2">
                  <c:v>23.11</c:v>
                </c:pt>
                <c:pt idx="3">
                  <c:v>16.73</c:v>
                </c:pt>
                <c:pt idx="4">
                  <c:v>22.71</c:v>
                </c:pt>
              </c:numCache>
            </c:numRef>
          </c:val>
          <c:extLst xmlns:c16r2="http://schemas.microsoft.com/office/drawing/2015/06/chart">
            <c:ext xmlns:c16="http://schemas.microsoft.com/office/drawing/2014/chart" uri="{C3380CC4-5D6E-409C-BE32-E72D297353CC}">
              <c16:uniqueId val="{00000003-8CFF-420F-9771-0A2E015B2509}"/>
            </c:ext>
          </c:extLst>
        </c:ser>
        <c:ser>
          <c:idx val="4"/>
          <c:order val="4"/>
          <c:tx>
            <c:strRef>
              <c:f>'wtp caprins2'!$A$28</c:f>
              <c:strCache>
                <c:ptCount val="1"/>
                <c:pt idx="0">
                  <c:v>5000</c:v>
                </c:pt>
              </c:strCache>
            </c:strRef>
          </c:tx>
          <c:spPr>
            <a:solidFill>
              <a:schemeClr val="accent5"/>
            </a:solidFill>
            <a:ln>
              <a:noFill/>
            </a:ln>
            <a:effectLst/>
          </c:spPr>
          <c:invertIfNegative val="0"/>
          <c:cat>
            <c:strRef>
              <c:f>'wtp caprins2'!$B$23:$F$23</c:f>
              <c:strCache>
                <c:ptCount val="5"/>
                <c:pt idx="0">
                  <c:v>retard des pluies</c:v>
                </c:pt>
                <c:pt idx="1">
                  <c:v>pluies insuffisantes</c:v>
                </c:pt>
                <c:pt idx="2">
                  <c:v>intempéries</c:v>
                </c:pt>
                <c:pt idx="3">
                  <c:v>vol du bétail</c:v>
                </c:pt>
                <c:pt idx="4">
                  <c:v>mort naturelle</c:v>
                </c:pt>
              </c:strCache>
            </c:strRef>
          </c:cat>
          <c:val>
            <c:numRef>
              <c:f>'wtp caprins2'!$B$28:$F$28</c:f>
              <c:numCache>
                <c:formatCode>General</c:formatCode>
                <c:ptCount val="5"/>
                <c:pt idx="0">
                  <c:v>9.56</c:v>
                </c:pt>
                <c:pt idx="1">
                  <c:v>9.16</c:v>
                </c:pt>
                <c:pt idx="2">
                  <c:v>7.57</c:v>
                </c:pt>
                <c:pt idx="3">
                  <c:v>9.16</c:v>
                </c:pt>
                <c:pt idx="4">
                  <c:v>6.77</c:v>
                </c:pt>
              </c:numCache>
            </c:numRef>
          </c:val>
          <c:extLst xmlns:c16r2="http://schemas.microsoft.com/office/drawing/2015/06/chart">
            <c:ext xmlns:c16="http://schemas.microsoft.com/office/drawing/2014/chart" uri="{C3380CC4-5D6E-409C-BE32-E72D297353CC}">
              <c16:uniqueId val="{00000004-8CFF-420F-9771-0A2E015B2509}"/>
            </c:ext>
          </c:extLst>
        </c:ser>
        <c:ser>
          <c:idx val="5"/>
          <c:order val="5"/>
          <c:tx>
            <c:strRef>
              <c:f>'wtp caprins2'!$A$29</c:f>
              <c:strCache>
                <c:ptCount val="1"/>
                <c:pt idx="0">
                  <c:v>7500</c:v>
                </c:pt>
              </c:strCache>
            </c:strRef>
          </c:tx>
          <c:spPr>
            <a:solidFill>
              <a:schemeClr val="accent6"/>
            </a:solidFill>
            <a:ln>
              <a:noFill/>
            </a:ln>
            <a:effectLst/>
          </c:spPr>
          <c:invertIfNegative val="0"/>
          <c:cat>
            <c:strRef>
              <c:f>'wtp caprins2'!$B$23:$F$23</c:f>
              <c:strCache>
                <c:ptCount val="5"/>
                <c:pt idx="0">
                  <c:v>retard des pluies</c:v>
                </c:pt>
                <c:pt idx="1">
                  <c:v>pluies insuffisantes</c:v>
                </c:pt>
                <c:pt idx="2">
                  <c:v>intempéries</c:v>
                </c:pt>
                <c:pt idx="3">
                  <c:v>vol du bétail</c:v>
                </c:pt>
                <c:pt idx="4">
                  <c:v>mort naturelle</c:v>
                </c:pt>
              </c:strCache>
            </c:strRef>
          </c:cat>
          <c:val>
            <c:numRef>
              <c:f>'wtp caprins2'!$B$29:$F$29</c:f>
              <c:numCache>
                <c:formatCode>General</c:formatCode>
                <c:ptCount val="5"/>
                <c:pt idx="0">
                  <c:v>4.78</c:v>
                </c:pt>
                <c:pt idx="1">
                  <c:v>4.78</c:v>
                </c:pt>
                <c:pt idx="2">
                  <c:v>5.58</c:v>
                </c:pt>
                <c:pt idx="3">
                  <c:v>4.38</c:v>
                </c:pt>
                <c:pt idx="4">
                  <c:v>5.58</c:v>
                </c:pt>
              </c:numCache>
            </c:numRef>
          </c:val>
          <c:extLst xmlns:c16r2="http://schemas.microsoft.com/office/drawing/2015/06/chart">
            <c:ext xmlns:c16="http://schemas.microsoft.com/office/drawing/2014/chart" uri="{C3380CC4-5D6E-409C-BE32-E72D297353CC}">
              <c16:uniqueId val="{00000005-8CFF-420F-9771-0A2E015B2509}"/>
            </c:ext>
          </c:extLst>
        </c:ser>
        <c:ser>
          <c:idx val="6"/>
          <c:order val="6"/>
          <c:tx>
            <c:strRef>
              <c:f>'wtp caprins2'!$A$30</c:f>
              <c:strCache>
                <c:ptCount val="1"/>
                <c:pt idx="0">
                  <c:v>10000</c:v>
                </c:pt>
              </c:strCache>
            </c:strRef>
          </c:tx>
          <c:spPr>
            <a:solidFill>
              <a:schemeClr val="accent1">
                <a:lumMod val="60000"/>
              </a:schemeClr>
            </a:solidFill>
            <a:ln>
              <a:noFill/>
            </a:ln>
            <a:effectLst/>
          </c:spPr>
          <c:invertIfNegative val="0"/>
          <c:cat>
            <c:strRef>
              <c:f>'wtp caprins2'!$B$23:$F$23</c:f>
              <c:strCache>
                <c:ptCount val="5"/>
                <c:pt idx="0">
                  <c:v>retard des pluies</c:v>
                </c:pt>
                <c:pt idx="1">
                  <c:v>pluies insuffisantes</c:v>
                </c:pt>
                <c:pt idx="2">
                  <c:v>intempéries</c:v>
                </c:pt>
                <c:pt idx="3">
                  <c:v>vol du bétail</c:v>
                </c:pt>
                <c:pt idx="4">
                  <c:v>mort naturelle</c:v>
                </c:pt>
              </c:strCache>
            </c:strRef>
          </c:cat>
          <c:val>
            <c:numRef>
              <c:f>'wtp caprins2'!$B$30:$F$30</c:f>
              <c:numCache>
                <c:formatCode>General</c:formatCode>
                <c:ptCount val="5"/>
                <c:pt idx="0">
                  <c:v>17.93</c:v>
                </c:pt>
                <c:pt idx="1">
                  <c:v>16.73</c:v>
                </c:pt>
                <c:pt idx="2">
                  <c:v>13.94</c:v>
                </c:pt>
                <c:pt idx="3">
                  <c:v>15.94</c:v>
                </c:pt>
                <c:pt idx="4">
                  <c:v>12.75</c:v>
                </c:pt>
              </c:numCache>
            </c:numRef>
          </c:val>
          <c:extLst xmlns:c16r2="http://schemas.microsoft.com/office/drawing/2015/06/chart">
            <c:ext xmlns:c16="http://schemas.microsoft.com/office/drawing/2014/chart" uri="{C3380CC4-5D6E-409C-BE32-E72D297353CC}">
              <c16:uniqueId val="{00000006-8CFF-420F-9771-0A2E015B2509}"/>
            </c:ext>
          </c:extLst>
        </c:ser>
        <c:ser>
          <c:idx val="7"/>
          <c:order val="7"/>
          <c:tx>
            <c:strRef>
              <c:f>'wtp caprins2'!$A$31</c:f>
              <c:strCache>
                <c:ptCount val="1"/>
                <c:pt idx="0">
                  <c:v>plus de 10000</c:v>
                </c:pt>
              </c:strCache>
            </c:strRef>
          </c:tx>
          <c:spPr>
            <a:solidFill>
              <a:schemeClr val="accent2">
                <a:lumMod val="60000"/>
              </a:schemeClr>
            </a:solidFill>
            <a:ln>
              <a:noFill/>
            </a:ln>
            <a:effectLst/>
          </c:spPr>
          <c:invertIfNegative val="0"/>
          <c:cat>
            <c:strRef>
              <c:f>'wtp caprins2'!$B$23:$F$23</c:f>
              <c:strCache>
                <c:ptCount val="5"/>
                <c:pt idx="0">
                  <c:v>retard des pluies</c:v>
                </c:pt>
                <c:pt idx="1">
                  <c:v>pluies insuffisantes</c:v>
                </c:pt>
                <c:pt idx="2">
                  <c:v>intempéries</c:v>
                </c:pt>
                <c:pt idx="3">
                  <c:v>vol du bétail</c:v>
                </c:pt>
                <c:pt idx="4">
                  <c:v>mort naturelle</c:v>
                </c:pt>
              </c:strCache>
            </c:strRef>
          </c:cat>
          <c:val>
            <c:numRef>
              <c:f>'wtp caprins2'!$B$31:$F$31</c:f>
              <c:numCache>
                <c:formatCode>General</c:formatCode>
                <c:ptCount val="5"/>
                <c:pt idx="0">
                  <c:v>23.11</c:v>
                </c:pt>
                <c:pt idx="1">
                  <c:v>23.11</c:v>
                </c:pt>
                <c:pt idx="2">
                  <c:v>18.73</c:v>
                </c:pt>
                <c:pt idx="3">
                  <c:v>22.71</c:v>
                </c:pt>
                <c:pt idx="4">
                  <c:v>17.93</c:v>
                </c:pt>
              </c:numCache>
            </c:numRef>
          </c:val>
          <c:extLst xmlns:c16r2="http://schemas.microsoft.com/office/drawing/2015/06/chart">
            <c:ext xmlns:c16="http://schemas.microsoft.com/office/drawing/2014/chart" uri="{C3380CC4-5D6E-409C-BE32-E72D297353CC}">
              <c16:uniqueId val="{00000007-8CFF-420F-9771-0A2E015B2509}"/>
            </c:ext>
          </c:extLst>
        </c:ser>
        <c:dLbls>
          <c:showLegendKey val="0"/>
          <c:showVal val="0"/>
          <c:showCatName val="0"/>
          <c:showSerName val="0"/>
          <c:showPercent val="0"/>
          <c:showBubbleSize val="0"/>
        </c:dLbls>
        <c:gapWidth val="219"/>
        <c:overlap val="-27"/>
        <c:axId val="382257552"/>
        <c:axId val="382257944"/>
      </c:barChart>
      <c:catAx>
        <c:axId val="382257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82257944"/>
        <c:crosses val="autoZero"/>
        <c:auto val="1"/>
        <c:lblAlgn val="ctr"/>
        <c:lblOffset val="100"/>
        <c:noMultiLvlLbl val="0"/>
      </c:catAx>
      <c:valAx>
        <c:axId val="382257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82257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fr-FR" sz="1400" b="0" i="0" u="none" strike="noStrike" kern="1200" spc="0" baseline="0">
                <a:solidFill>
                  <a:sysClr val="windowText" lastClr="000000">
                    <a:lumMod val="65000"/>
                    <a:lumOff val="35000"/>
                  </a:sysClr>
                </a:solidFill>
                <a:latin typeface="+mn-lt"/>
                <a:ea typeface="+mn-ea"/>
                <a:cs typeface="+mn-cs"/>
              </a:rPr>
              <a:t>Combien êtes vous prêts à payer pour assurer une valeur de 100 000 FCFA de vos caprins? (en % d'éleveurs)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fr-FR"/>
        </a:p>
      </c:txPr>
    </c:title>
    <c:autoTitleDeleted val="0"/>
    <c:plotArea>
      <c:layout/>
      <c:barChart>
        <c:barDir val="col"/>
        <c:grouping val="clustered"/>
        <c:varyColors val="0"/>
        <c:ser>
          <c:idx val="0"/>
          <c:order val="0"/>
          <c:tx>
            <c:strRef>
              <c:f>'wtp caprins2'!$A$34</c:f>
              <c:strCache>
                <c:ptCount val="1"/>
                <c:pt idx="0">
                  <c:v>rien</c:v>
                </c:pt>
              </c:strCache>
            </c:strRef>
          </c:tx>
          <c:spPr>
            <a:solidFill>
              <a:schemeClr val="accent1"/>
            </a:solidFill>
            <a:ln>
              <a:noFill/>
            </a:ln>
            <a:effectLst/>
          </c:spPr>
          <c:invertIfNegative val="0"/>
          <c:cat>
            <c:strRef>
              <c:f>'wtp caprins2'!$B$33:$F$33</c:f>
              <c:strCache>
                <c:ptCount val="5"/>
                <c:pt idx="0">
                  <c:v>retard des pluies</c:v>
                </c:pt>
                <c:pt idx="1">
                  <c:v>pluies insuffisantes</c:v>
                </c:pt>
                <c:pt idx="2">
                  <c:v>intempéries</c:v>
                </c:pt>
                <c:pt idx="3">
                  <c:v>vol du bétail</c:v>
                </c:pt>
                <c:pt idx="4">
                  <c:v>mort naturelle</c:v>
                </c:pt>
              </c:strCache>
            </c:strRef>
          </c:cat>
          <c:val>
            <c:numRef>
              <c:f>'wtp caprins2'!$B$34:$F$34</c:f>
              <c:numCache>
                <c:formatCode>General</c:formatCode>
                <c:ptCount val="5"/>
                <c:pt idx="0">
                  <c:v>13.31</c:v>
                </c:pt>
                <c:pt idx="1">
                  <c:v>12.55</c:v>
                </c:pt>
                <c:pt idx="2">
                  <c:v>12.35</c:v>
                </c:pt>
                <c:pt idx="3">
                  <c:v>14.07</c:v>
                </c:pt>
                <c:pt idx="4">
                  <c:v>13.31</c:v>
                </c:pt>
              </c:numCache>
            </c:numRef>
          </c:val>
          <c:extLst xmlns:c16r2="http://schemas.microsoft.com/office/drawing/2015/06/chart">
            <c:ext xmlns:c16="http://schemas.microsoft.com/office/drawing/2014/chart" uri="{C3380CC4-5D6E-409C-BE32-E72D297353CC}">
              <c16:uniqueId val="{00000000-556F-40AD-8DCE-50F5C5FD63D8}"/>
            </c:ext>
          </c:extLst>
        </c:ser>
        <c:ser>
          <c:idx val="1"/>
          <c:order val="1"/>
          <c:tx>
            <c:strRef>
              <c:f>'wtp caprins2'!$A$35</c:f>
              <c:strCache>
                <c:ptCount val="1"/>
                <c:pt idx="0">
                  <c:v>500</c:v>
                </c:pt>
              </c:strCache>
            </c:strRef>
          </c:tx>
          <c:spPr>
            <a:solidFill>
              <a:schemeClr val="accent2"/>
            </a:solidFill>
            <a:ln>
              <a:noFill/>
            </a:ln>
            <a:effectLst/>
          </c:spPr>
          <c:invertIfNegative val="0"/>
          <c:cat>
            <c:strRef>
              <c:f>'wtp caprins2'!$B$33:$F$33</c:f>
              <c:strCache>
                <c:ptCount val="5"/>
                <c:pt idx="0">
                  <c:v>retard des pluies</c:v>
                </c:pt>
                <c:pt idx="1">
                  <c:v>pluies insuffisantes</c:v>
                </c:pt>
                <c:pt idx="2">
                  <c:v>intempéries</c:v>
                </c:pt>
                <c:pt idx="3">
                  <c:v>vol du bétail</c:v>
                </c:pt>
                <c:pt idx="4">
                  <c:v>mort naturelle</c:v>
                </c:pt>
              </c:strCache>
            </c:strRef>
          </c:cat>
          <c:val>
            <c:numRef>
              <c:f>'wtp caprins2'!$B$35:$F$35</c:f>
              <c:numCache>
                <c:formatCode>General</c:formatCode>
                <c:ptCount val="5"/>
                <c:pt idx="0">
                  <c:v>7.6</c:v>
                </c:pt>
                <c:pt idx="1">
                  <c:v>7.98</c:v>
                </c:pt>
                <c:pt idx="2">
                  <c:v>6.37</c:v>
                </c:pt>
                <c:pt idx="3">
                  <c:v>7.22</c:v>
                </c:pt>
                <c:pt idx="4">
                  <c:v>10.27</c:v>
                </c:pt>
              </c:numCache>
            </c:numRef>
          </c:val>
          <c:extLst xmlns:c16r2="http://schemas.microsoft.com/office/drawing/2015/06/chart">
            <c:ext xmlns:c16="http://schemas.microsoft.com/office/drawing/2014/chart" uri="{C3380CC4-5D6E-409C-BE32-E72D297353CC}">
              <c16:uniqueId val="{00000001-556F-40AD-8DCE-50F5C5FD63D8}"/>
            </c:ext>
          </c:extLst>
        </c:ser>
        <c:ser>
          <c:idx val="2"/>
          <c:order val="2"/>
          <c:tx>
            <c:strRef>
              <c:f>'wtp caprins2'!$A$36</c:f>
              <c:strCache>
                <c:ptCount val="1"/>
                <c:pt idx="0">
                  <c:v>1000</c:v>
                </c:pt>
              </c:strCache>
            </c:strRef>
          </c:tx>
          <c:spPr>
            <a:solidFill>
              <a:schemeClr val="accent3"/>
            </a:solidFill>
            <a:ln>
              <a:noFill/>
            </a:ln>
            <a:effectLst/>
          </c:spPr>
          <c:invertIfNegative val="0"/>
          <c:cat>
            <c:strRef>
              <c:f>'wtp caprins2'!$B$33:$F$33</c:f>
              <c:strCache>
                <c:ptCount val="5"/>
                <c:pt idx="0">
                  <c:v>retard des pluies</c:v>
                </c:pt>
                <c:pt idx="1">
                  <c:v>pluies insuffisantes</c:v>
                </c:pt>
                <c:pt idx="2">
                  <c:v>intempéries</c:v>
                </c:pt>
                <c:pt idx="3">
                  <c:v>vol du bétail</c:v>
                </c:pt>
                <c:pt idx="4">
                  <c:v>mort naturelle</c:v>
                </c:pt>
              </c:strCache>
            </c:strRef>
          </c:cat>
          <c:val>
            <c:numRef>
              <c:f>'wtp caprins2'!$B$36:$F$36</c:f>
              <c:numCache>
                <c:formatCode>General</c:formatCode>
                <c:ptCount val="5"/>
                <c:pt idx="0">
                  <c:v>12.93</c:v>
                </c:pt>
                <c:pt idx="1">
                  <c:v>13.31</c:v>
                </c:pt>
                <c:pt idx="2">
                  <c:v>12.35</c:v>
                </c:pt>
                <c:pt idx="3">
                  <c:v>14.83</c:v>
                </c:pt>
                <c:pt idx="4">
                  <c:v>15.21</c:v>
                </c:pt>
              </c:numCache>
            </c:numRef>
          </c:val>
          <c:extLst xmlns:c16r2="http://schemas.microsoft.com/office/drawing/2015/06/chart">
            <c:ext xmlns:c16="http://schemas.microsoft.com/office/drawing/2014/chart" uri="{C3380CC4-5D6E-409C-BE32-E72D297353CC}">
              <c16:uniqueId val="{00000002-556F-40AD-8DCE-50F5C5FD63D8}"/>
            </c:ext>
          </c:extLst>
        </c:ser>
        <c:ser>
          <c:idx val="3"/>
          <c:order val="3"/>
          <c:tx>
            <c:strRef>
              <c:f>'wtp caprins2'!$A$37</c:f>
              <c:strCache>
                <c:ptCount val="1"/>
                <c:pt idx="0">
                  <c:v>3000</c:v>
                </c:pt>
              </c:strCache>
            </c:strRef>
          </c:tx>
          <c:spPr>
            <a:solidFill>
              <a:schemeClr val="accent4"/>
            </a:solidFill>
            <a:ln>
              <a:noFill/>
            </a:ln>
            <a:effectLst/>
          </c:spPr>
          <c:invertIfNegative val="0"/>
          <c:cat>
            <c:strRef>
              <c:f>'wtp caprins2'!$B$33:$F$33</c:f>
              <c:strCache>
                <c:ptCount val="5"/>
                <c:pt idx="0">
                  <c:v>retard des pluies</c:v>
                </c:pt>
                <c:pt idx="1">
                  <c:v>pluies insuffisantes</c:v>
                </c:pt>
                <c:pt idx="2">
                  <c:v>intempéries</c:v>
                </c:pt>
                <c:pt idx="3">
                  <c:v>vol du bétail</c:v>
                </c:pt>
                <c:pt idx="4">
                  <c:v>mort naturelle</c:v>
                </c:pt>
              </c:strCache>
            </c:strRef>
          </c:cat>
          <c:val>
            <c:numRef>
              <c:f>'wtp caprins2'!$B$37:$F$37</c:f>
              <c:numCache>
                <c:formatCode>General</c:formatCode>
                <c:ptCount val="5"/>
                <c:pt idx="0">
                  <c:v>28.9</c:v>
                </c:pt>
                <c:pt idx="1">
                  <c:v>30.04</c:v>
                </c:pt>
                <c:pt idx="2">
                  <c:v>16.73</c:v>
                </c:pt>
                <c:pt idx="3">
                  <c:v>32.700000000000003</c:v>
                </c:pt>
                <c:pt idx="4">
                  <c:v>28.9</c:v>
                </c:pt>
              </c:numCache>
            </c:numRef>
          </c:val>
          <c:extLst xmlns:c16r2="http://schemas.microsoft.com/office/drawing/2015/06/chart">
            <c:ext xmlns:c16="http://schemas.microsoft.com/office/drawing/2014/chart" uri="{C3380CC4-5D6E-409C-BE32-E72D297353CC}">
              <c16:uniqueId val="{00000003-556F-40AD-8DCE-50F5C5FD63D8}"/>
            </c:ext>
          </c:extLst>
        </c:ser>
        <c:ser>
          <c:idx val="4"/>
          <c:order val="4"/>
          <c:tx>
            <c:strRef>
              <c:f>'wtp caprins2'!$A$38</c:f>
              <c:strCache>
                <c:ptCount val="1"/>
                <c:pt idx="0">
                  <c:v>5000</c:v>
                </c:pt>
              </c:strCache>
            </c:strRef>
          </c:tx>
          <c:spPr>
            <a:solidFill>
              <a:schemeClr val="accent5"/>
            </a:solidFill>
            <a:ln>
              <a:noFill/>
            </a:ln>
            <a:effectLst/>
          </c:spPr>
          <c:invertIfNegative val="0"/>
          <c:cat>
            <c:strRef>
              <c:f>'wtp caprins2'!$B$33:$F$33</c:f>
              <c:strCache>
                <c:ptCount val="5"/>
                <c:pt idx="0">
                  <c:v>retard des pluies</c:v>
                </c:pt>
                <c:pt idx="1">
                  <c:v>pluies insuffisantes</c:v>
                </c:pt>
                <c:pt idx="2">
                  <c:v>intempéries</c:v>
                </c:pt>
                <c:pt idx="3">
                  <c:v>vol du bétail</c:v>
                </c:pt>
                <c:pt idx="4">
                  <c:v>mort naturelle</c:v>
                </c:pt>
              </c:strCache>
            </c:strRef>
          </c:cat>
          <c:val>
            <c:numRef>
              <c:f>'wtp caprins2'!$B$38:$F$38</c:f>
              <c:numCache>
                <c:formatCode>General</c:formatCode>
                <c:ptCount val="5"/>
                <c:pt idx="0">
                  <c:v>15.97</c:v>
                </c:pt>
                <c:pt idx="1">
                  <c:v>12.93</c:v>
                </c:pt>
                <c:pt idx="2">
                  <c:v>9.16</c:v>
                </c:pt>
                <c:pt idx="3">
                  <c:v>12.93</c:v>
                </c:pt>
                <c:pt idx="4">
                  <c:v>12.55</c:v>
                </c:pt>
              </c:numCache>
            </c:numRef>
          </c:val>
          <c:extLst xmlns:c16r2="http://schemas.microsoft.com/office/drawing/2015/06/chart">
            <c:ext xmlns:c16="http://schemas.microsoft.com/office/drawing/2014/chart" uri="{C3380CC4-5D6E-409C-BE32-E72D297353CC}">
              <c16:uniqueId val="{00000004-556F-40AD-8DCE-50F5C5FD63D8}"/>
            </c:ext>
          </c:extLst>
        </c:ser>
        <c:ser>
          <c:idx val="5"/>
          <c:order val="5"/>
          <c:tx>
            <c:strRef>
              <c:f>'wtp caprins2'!$A$39</c:f>
              <c:strCache>
                <c:ptCount val="1"/>
                <c:pt idx="0">
                  <c:v>7500</c:v>
                </c:pt>
              </c:strCache>
            </c:strRef>
          </c:tx>
          <c:spPr>
            <a:solidFill>
              <a:schemeClr val="accent6"/>
            </a:solidFill>
            <a:ln>
              <a:noFill/>
            </a:ln>
            <a:effectLst/>
          </c:spPr>
          <c:invertIfNegative val="0"/>
          <c:cat>
            <c:strRef>
              <c:f>'wtp caprins2'!$B$33:$F$33</c:f>
              <c:strCache>
                <c:ptCount val="5"/>
                <c:pt idx="0">
                  <c:v>retard des pluies</c:v>
                </c:pt>
                <c:pt idx="1">
                  <c:v>pluies insuffisantes</c:v>
                </c:pt>
                <c:pt idx="2">
                  <c:v>intempéries</c:v>
                </c:pt>
                <c:pt idx="3">
                  <c:v>vol du bétail</c:v>
                </c:pt>
                <c:pt idx="4">
                  <c:v>mort naturelle</c:v>
                </c:pt>
              </c:strCache>
            </c:strRef>
          </c:cat>
          <c:val>
            <c:numRef>
              <c:f>'wtp caprins2'!$B$39:$F$39</c:f>
              <c:numCache>
                <c:formatCode>General</c:formatCode>
                <c:ptCount val="5"/>
                <c:pt idx="0">
                  <c:v>4.18</c:v>
                </c:pt>
                <c:pt idx="1">
                  <c:v>5.7</c:v>
                </c:pt>
                <c:pt idx="2">
                  <c:v>4.38</c:v>
                </c:pt>
                <c:pt idx="3">
                  <c:v>4.9400000000000004</c:v>
                </c:pt>
                <c:pt idx="4">
                  <c:v>4.9400000000000004</c:v>
                </c:pt>
              </c:numCache>
            </c:numRef>
          </c:val>
          <c:extLst xmlns:c16r2="http://schemas.microsoft.com/office/drawing/2015/06/chart">
            <c:ext xmlns:c16="http://schemas.microsoft.com/office/drawing/2014/chart" uri="{C3380CC4-5D6E-409C-BE32-E72D297353CC}">
              <c16:uniqueId val="{00000005-556F-40AD-8DCE-50F5C5FD63D8}"/>
            </c:ext>
          </c:extLst>
        </c:ser>
        <c:ser>
          <c:idx val="6"/>
          <c:order val="6"/>
          <c:tx>
            <c:strRef>
              <c:f>'wtp caprins2'!$A$40</c:f>
              <c:strCache>
                <c:ptCount val="1"/>
                <c:pt idx="0">
                  <c:v>10000</c:v>
                </c:pt>
              </c:strCache>
            </c:strRef>
          </c:tx>
          <c:spPr>
            <a:solidFill>
              <a:schemeClr val="accent1">
                <a:lumMod val="60000"/>
              </a:schemeClr>
            </a:solidFill>
            <a:ln>
              <a:noFill/>
            </a:ln>
            <a:effectLst/>
          </c:spPr>
          <c:invertIfNegative val="0"/>
          <c:cat>
            <c:strRef>
              <c:f>'wtp caprins2'!$B$33:$F$33</c:f>
              <c:strCache>
                <c:ptCount val="5"/>
                <c:pt idx="0">
                  <c:v>retard des pluies</c:v>
                </c:pt>
                <c:pt idx="1">
                  <c:v>pluies insuffisantes</c:v>
                </c:pt>
                <c:pt idx="2">
                  <c:v>intempéries</c:v>
                </c:pt>
                <c:pt idx="3">
                  <c:v>vol du bétail</c:v>
                </c:pt>
                <c:pt idx="4">
                  <c:v>mort naturelle</c:v>
                </c:pt>
              </c:strCache>
            </c:strRef>
          </c:cat>
          <c:val>
            <c:numRef>
              <c:f>'wtp caprins2'!$B$40:$F$40</c:f>
              <c:numCache>
                <c:formatCode>General</c:formatCode>
                <c:ptCount val="5"/>
                <c:pt idx="0">
                  <c:v>9.51</c:v>
                </c:pt>
                <c:pt idx="1">
                  <c:v>10.27</c:v>
                </c:pt>
                <c:pt idx="2">
                  <c:v>15.94</c:v>
                </c:pt>
                <c:pt idx="3">
                  <c:v>6.08</c:v>
                </c:pt>
                <c:pt idx="4">
                  <c:v>7.22</c:v>
                </c:pt>
              </c:numCache>
            </c:numRef>
          </c:val>
          <c:extLst xmlns:c16r2="http://schemas.microsoft.com/office/drawing/2015/06/chart">
            <c:ext xmlns:c16="http://schemas.microsoft.com/office/drawing/2014/chart" uri="{C3380CC4-5D6E-409C-BE32-E72D297353CC}">
              <c16:uniqueId val="{00000006-556F-40AD-8DCE-50F5C5FD63D8}"/>
            </c:ext>
          </c:extLst>
        </c:ser>
        <c:ser>
          <c:idx val="7"/>
          <c:order val="7"/>
          <c:tx>
            <c:strRef>
              <c:f>'wtp caprins2'!$A$41</c:f>
              <c:strCache>
                <c:ptCount val="1"/>
                <c:pt idx="0">
                  <c:v>plus de 10000</c:v>
                </c:pt>
              </c:strCache>
            </c:strRef>
          </c:tx>
          <c:spPr>
            <a:solidFill>
              <a:schemeClr val="accent2">
                <a:lumMod val="60000"/>
              </a:schemeClr>
            </a:solidFill>
            <a:ln>
              <a:noFill/>
            </a:ln>
            <a:effectLst/>
          </c:spPr>
          <c:invertIfNegative val="0"/>
          <c:cat>
            <c:strRef>
              <c:f>'wtp caprins2'!$B$33:$F$33</c:f>
              <c:strCache>
                <c:ptCount val="5"/>
                <c:pt idx="0">
                  <c:v>retard des pluies</c:v>
                </c:pt>
                <c:pt idx="1">
                  <c:v>pluies insuffisantes</c:v>
                </c:pt>
                <c:pt idx="2">
                  <c:v>intempéries</c:v>
                </c:pt>
                <c:pt idx="3">
                  <c:v>vol du bétail</c:v>
                </c:pt>
                <c:pt idx="4">
                  <c:v>mort naturelle</c:v>
                </c:pt>
              </c:strCache>
            </c:strRef>
          </c:cat>
          <c:val>
            <c:numRef>
              <c:f>'wtp caprins2'!$B$41:$F$41</c:f>
              <c:numCache>
                <c:formatCode>General</c:formatCode>
                <c:ptCount val="5"/>
                <c:pt idx="0">
                  <c:v>7.6</c:v>
                </c:pt>
                <c:pt idx="1">
                  <c:v>7.22</c:v>
                </c:pt>
                <c:pt idx="2">
                  <c:v>22.71</c:v>
                </c:pt>
                <c:pt idx="3">
                  <c:v>7.22</c:v>
                </c:pt>
                <c:pt idx="4">
                  <c:v>7.6</c:v>
                </c:pt>
              </c:numCache>
            </c:numRef>
          </c:val>
          <c:extLst xmlns:c16r2="http://schemas.microsoft.com/office/drawing/2015/06/chart">
            <c:ext xmlns:c16="http://schemas.microsoft.com/office/drawing/2014/chart" uri="{C3380CC4-5D6E-409C-BE32-E72D297353CC}">
              <c16:uniqueId val="{00000007-556F-40AD-8DCE-50F5C5FD63D8}"/>
            </c:ext>
          </c:extLst>
        </c:ser>
        <c:dLbls>
          <c:showLegendKey val="0"/>
          <c:showVal val="0"/>
          <c:showCatName val="0"/>
          <c:showSerName val="0"/>
          <c:showPercent val="0"/>
          <c:showBubbleSize val="0"/>
        </c:dLbls>
        <c:gapWidth val="219"/>
        <c:overlap val="-27"/>
        <c:axId val="382258728"/>
        <c:axId val="382333032"/>
      </c:barChart>
      <c:catAx>
        <c:axId val="382258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82333032"/>
        <c:crosses val="autoZero"/>
        <c:auto val="1"/>
        <c:lblAlgn val="ctr"/>
        <c:lblOffset val="100"/>
        <c:noMultiLvlLbl val="0"/>
      </c:catAx>
      <c:valAx>
        <c:axId val="382333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82258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 des éleveurs</a:t>
            </a:r>
            <a:r>
              <a:rPr lang="fr-FR" baseline="0"/>
              <a:t> m</a:t>
            </a:r>
            <a:r>
              <a:rPr lang="fr-FR"/>
              <a:t>embres d'une association d'éleveurs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pieChart>
        <c:varyColors val="1"/>
        <c:ser>
          <c:idx val="0"/>
          <c:order val="0"/>
          <c:tx>
            <c:strRef>
              <c:f>'membre d''assoc eleveurs'!$B$1</c:f>
              <c:strCache>
                <c:ptCount val="1"/>
                <c:pt idx="0">
                  <c:v>Membre d'une association d'éleveurs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7F50-47F6-9E22-CF5E5E020663}"/>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7F50-47F6-9E22-CF5E5E02066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'membre d''assoc eleveurs'!$A$2:$A$3</c:f>
              <c:strCache>
                <c:ptCount val="2"/>
                <c:pt idx="0">
                  <c:v>Oui</c:v>
                </c:pt>
                <c:pt idx="1">
                  <c:v>Non</c:v>
                </c:pt>
              </c:strCache>
            </c:strRef>
          </c:cat>
          <c:val>
            <c:numRef>
              <c:f>'membre d''assoc eleveurs'!$B$2:$B$3</c:f>
              <c:numCache>
                <c:formatCode>0</c:formatCode>
                <c:ptCount val="2"/>
                <c:pt idx="0">
                  <c:v>19.666666666666668</c:v>
                </c:pt>
                <c:pt idx="1">
                  <c:v>80.333333333333329</c:v>
                </c:pt>
              </c:numCache>
            </c:numRef>
          </c:val>
          <c:extLst xmlns:c16r2="http://schemas.microsoft.com/office/drawing/2015/06/chart">
            <c:ext xmlns:c16="http://schemas.microsoft.com/office/drawing/2014/chart" uri="{C3380CC4-5D6E-409C-BE32-E72D297353CC}">
              <c16:uniqueId val="{00000004-7F50-47F6-9E22-CF5E5E020663}"/>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Préférence entre l'assurance indicielle bétail et l'assurance classique bétail</a:t>
            </a:r>
            <a:r>
              <a:rPr lang="en-US" baseline="0"/>
              <a:t> (en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doughnutChart>
        <c:varyColors val="1"/>
        <c:ser>
          <c:idx val="0"/>
          <c:order val="0"/>
          <c:tx>
            <c:strRef>
              <c:f>Feuil1!$B$1</c:f>
              <c:strCache>
                <c:ptCount val="1"/>
                <c:pt idx="0">
                  <c:v>Préférence entre l'assurance indicielle bétail et l'assurance classique bétail</c:v>
                </c:pt>
              </c:strCache>
            </c:strRef>
          </c:tx>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FE10-402B-9FD7-6BC1B0840B06}"/>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FE10-402B-9FD7-6BC1B0840B06}"/>
              </c:ext>
            </c:extLst>
          </c:dPt>
          <c:dPt>
            <c:idx val="2"/>
            <c:bubble3D val="0"/>
            <c:spPr>
              <a:solidFill>
                <a:schemeClr val="accent6"/>
              </a:solidFill>
              <a:ln>
                <a:noFill/>
              </a:ln>
              <a:effectLst/>
            </c:spPr>
            <c:extLst xmlns:c16r2="http://schemas.microsoft.com/office/drawing/2015/06/chart">
              <c:ext xmlns:c16="http://schemas.microsoft.com/office/drawing/2014/chart" uri="{C3380CC4-5D6E-409C-BE32-E72D297353CC}">
                <c16:uniqueId val="{00000005-FE10-402B-9FD7-6BC1B0840B0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Feuil1!$A$2:$A$4</c:f>
              <c:strCache>
                <c:ptCount val="3"/>
                <c:pt idx="0">
                  <c:v>Indifférent</c:v>
                </c:pt>
                <c:pt idx="1">
                  <c:v>Assurance Classique</c:v>
                </c:pt>
                <c:pt idx="2">
                  <c:v>Assurance Indicielle</c:v>
                </c:pt>
              </c:strCache>
            </c:strRef>
          </c:cat>
          <c:val>
            <c:numRef>
              <c:f>Feuil1!$B$2:$B$4</c:f>
              <c:numCache>
                <c:formatCode>General</c:formatCode>
                <c:ptCount val="3"/>
                <c:pt idx="0">
                  <c:v>14.33</c:v>
                </c:pt>
                <c:pt idx="1">
                  <c:v>15.67</c:v>
                </c:pt>
                <c:pt idx="2">
                  <c:v>70</c:v>
                </c:pt>
              </c:numCache>
            </c:numRef>
          </c:val>
          <c:extLst xmlns:c16r2="http://schemas.microsoft.com/office/drawing/2015/06/chart">
            <c:ext xmlns:c16="http://schemas.microsoft.com/office/drawing/2014/chart" uri="{C3380CC4-5D6E-409C-BE32-E72D297353CC}">
              <c16:uniqueId val="{00000006-FE10-402B-9FD7-6BC1B0840B06}"/>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'région et département'!$B$3:$F$3</cx:f>
        <cx:lvl ptCount="5">
          <cx:pt idx="0">Podor (80)</cx:pt>
          <cx:pt idx="1">Dagana (40)</cx:pt>
          <cx:pt idx="2">Linguère (100)</cx:pt>
          <cx:pt idx="3">Ranérou (40)</cx:pt>
          <cx:pt idx="4">Koumpentoum (40)</cx:pt>
        </cx:lvl>
      </cx:strDim>
      <cx:numDim type="size">
        <cx:f>'région et département'!$B$4:$F$4</cx:f>
        <cx:lvl ptCount="5" formatCode="Standard">
          <cx:pt idx="0">80</cx:pt>
          <cx:pt idx="1">40</cx:pt>
          <cx:pt idx="2">100</cx:pt>
          <cx:pt idx="3">40</cx:pt>
          <cx:pt idx="4">40</cx:pt>
        </cx:lvl>
      </cx:numDim>
    </cx:data>
  </cx:chartData>
  <cx:chart>
    <cx:title pos="t" align="ctr" overlay="0">
      <cx:tx>
        <cx:txData>
          <cx:v>Répartition de l'échantillon par département</cx:v>
        </cx:txData>
      </cx:tx>
      <cx:txPr>
        <a:bodyPr spcFirstLastPara="1" vertOverflow="ellipsis" wrap="square" lIns="0" tIns="0" rIns="0" bIns="0" anchor="ctr" anchorCtr="1"/>
        <a:lstStyle/>
        <a:p>
          <a:pPr algn="ctr">
            <a:defRPr sz="1100"/>
          </a:pPr>
          <a:r>
            <a:rPr lang="fr-FR" sz="1100"/>
            <a:t>Répartition de l'échantillon par département</a:t>
          </a:r>
        </a:p>
      </cx:txPr>
    </cx:title>
    <cx:plotArea>
      <cx:plotAreaRegion>
        <cx:series layoutId="sunburst" uniqueId="{10A7288D-0555-4AE7-BB79-DFC9E18E09A2}">
          <cx:dataId val="0"/>
        </cx:series>
      </cx:plotAreaRegion>
    </cx:plotArea>
    <cx:legend pos="r" align="ctr" overlay="0">
      <cx:txPr>
        <a:bodyPr vertOverflow="overflow" horzOverflow="overflow" wrap="square" lIns="0" tIns="0" rIns="0" bIns="0"/>
        <a:lstStyle/>
        <a:p>
          <a:pPr algn="ctr" rtl="0">
            <a:defRPr sz="900" b="0">
              <a:solidFill>
                <a:srgbClr val="595959"/>
              </a:solidFill>
              <a:latin typeface="Calibri" panose="020F0502020204030204" pitchFamily="34" charset="0"/>
              <a:ea typeface="Calibri" panose="020F0502020204030204" pitchFamily="34" charset="0"/>
              <a:cs typeface="Calibri" panose="020F0502020204030204" pitchFamily="34" charset="0"/>
            </a:defRPr>
          </a:pPr>
          <a:endParaRPr lang="fr-FR" sz="900"/>
        </a:p>
      </cx:txPr>
    </cx:legend>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0.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50" kern="1200"/>
    <cs:bodyPr wrap="square" lIns="38100" tIns="19050" rIns="38100" bIns="19050" anchor="ctr">
      <a:spAutoFit/>
    </cs:bodyPr>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9525">
        <a:solidFill>
          <a:schemeClr val="lt1"/>
        </a:solidFill>
      </a:ln>
    </cs:spPr>
  </cs:dataPoint>
  <cs:dataPoint3D>
    <cs:lnRef idx="0"/>
    <cs:fillRef idx="0">
      <cs:styleClr val="auto"/>
    </cs:fillRef>
    <cs:effectRef idx="0"/>
    <cs:fontRef idx="minor">
      <a:schemeClr val="tx1"/>
    </cs:fontRef>
    <cs:spPr>
      <a:solidFill>
        <a:schemeClr val="phClr"/>
      </a:solidFill>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defRPr sz="900"/>
  </cs:dataTable>
  <cs:downBar>
    <cs:lnRef idx="0"/>
    <cs:fillRef idx="0"/>
    <cs:effectRef idx="0"/>
    <cs:fontRef idx="minor">
      <a:schemeClr val="tx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lumOff val="10000"/>
          </a:schemeClr>
        </a:solidFill>
        <a:round/>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body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tx1"/>
    </cs:fontRef>
    <cs:spPr>
      <a:solidFill>
        <a:schemeClr val="lt1"/>
      </a:solidFill>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ANS15</b:Tag>
    <b:SourceType>Report</b:SourceType>
    <b:Guid>{6C6234D1-0B8E-42BC-B96F-CC77EC614F84}</b:Guid>
    <b:Title>Enquête à l'écoute du Sénégal 2014</b:Title>
    <b:Year>Septembre 2015</b:Year>
    <b:City>Dakar, Sénégal</b:City>
    <b:Publisher>Rapport préliminaire</b:Publisher>
    <b:Author>
      <b:Author>
        <b:Corporate>ANSD</b:Corporate>
      </b:Author>
    </b:Author>
    <b:RefOrder>14</b:RefOrder>
  </b:Source>
  <b:Source>
    <b:Tag>Bol97</b:Tag>
    <b:SourceType>JournalArticle</b:SourceType>
    <b:Guid>{AC172AF7-A700-4921-839B-0520FC899FD3}</b:Guid>
    <b:Author>
      <b:Author>
        <b:NameList>
          <b:Person>
            <b:Last>Bollig</b:Last>
            <b:First>Michael</b:First>
            <b:Middle>and Göbel, Barbara</b:Middle>
          </b:Person>
        </b:NameList>
      </b:Author>
    </b:Author>
    <b:Title>Risks, Uncertainty and Pastoralism: an introduction</b:Title>
    <b:Year>1997</b:Year>
    <b:JournalName>Nomadic Peoples, New Series</b:JournalName>
    <b:Pages>5-21</b:Pages>
    <b:Volume>1</b:Volume>
    <b:Issue>1</b:Issue>
    <b:RefOrder>2</b:RefOrder>
  </b:Source>
  <b:Source>
    <b:Tag>PAR17</b:Tag>
    <b:SourceType>Report</b:SourceType>
    <b:Guid>{2DA73A84-E061-4A74-857F-E756419A19F5}</b:Guid>
    <b:Title>Managing risks at the farm level-Manual (by I Tedesco)</b:Title>
    <b:Year>2017</b:Year>
    <b:Author>
      <b:Author>
        <b:NameList>
          <b:Person>
            <b:Last>PARM</b:Last>
          </b:Person>
        </b:NameList>
      </b:Author>
    </b:Author>
    <b:Publisher>PARM/IFAD</b:Publisher>
    <b:City>Rome, Italy</b:City>
    <b:RefOrder>3</b:RefOrder>
  </b:Source>
  <b:Source>
    <b:Tag>Swa</b:Tag>
    <b:SourceType>JournalArticle</b:SourceType>
    <b:Guid>{99795CC2-16F5-4761-AF4B-05A75CBF5D7D}</b:Guid>
    <b:Author>
      <b:Author>
        <b:NameList>
          <b:Person>
            <b:Last>Swallow</b:Last>
            <b:First>Brent</b:First>
          </b:Person>
        </b:NameList>
      </b:Author>
    </b:Author>
    <b:Title>The Role of Mobility with the Risk Management Strategies of Pastoralists and Agro-Pastoralists</b:Title>
    <b:JournalName>International Institute for Environnement and Development, GATEKEEPER SERIES</b:JournalName>
    <b:Issue>47</b:Issue>
    <b:Year>1993</b:Year>
    <b:RefOrder>4</b:RefOrder>
  </b:Source>
  <b:Source>
    <b:Tag>Tur14</b:Tag>
    <b:SourceType>JournalArticle</b:SourceType>
    <b:Guid>{58826C12-F3FE-47A7-A6E2-78C4597733B2}</b:Guid>
    <b:Author>
      <b:Author>
        <b:NameList>
          <b:Person>
            <b:Last>Turner</b:Last>
            <b:First>Mattew,</b:First>
            <b:Middle>D</b:Middle>
          </b:Person>
          <b:Person>
            <b:Last>McPeack</b:Last>
            <b:First>John,</b:First>
            <b:Middle>G</b:Middle>
          </b:Person>
          <b:Person>
            <b:Last>Ayantunde</b:Last>
            <b:First>Augustine</b:First>
          </b:Person>
        </b:NameList>
      </b:Author>
    </b:Author>
    <b:Title>The Role of Livestock Mobility in the Livelihood Strategies in Rural Peoples in Semi-Arid West Africa</b:Title>
    <b:JournalName>Human Ecology</b:JournalName>
    <b:Year>2014</b:Year>
    <b:RefOrder>5</b:RefOrder>
  </b:Source>
  <b:Source>
    <b:Tag>Opi11</b:Tag>
    <b:SourceType>JournalArticle</b:SourceType>
    <b:Guid>{76012FE4-0760-4679-969C-ED62349F8A2B}</b:Guid>
    <b:Author>
      <b:Author>
        <b:NameList>
          <b:Person>
            <b:Last>Opiyo</b:Last>
            <b:First>Francis,</b:First>
            <b:Middle>E, O</b:Middle>
          </b:Person>
          <b:Person>
            <b:Last>Mureithi</b:Last>
            <b:First>Stephen,</b:First>
            <b:Middle>M</b:Middle>
          </b:Person>
          <b:Person>
            <b:Last>Ngugi</b:Last>
            <b:First>Robinso,</b:First>
            <b:Middle>K</b:Middle>
          </b:Person>
        </b:NameList>
      </b:Author>
    </b:Author>
    <b:Title>The Influence of Water Availability on Pastoralist’s Resource Use in Mwingi and Kitui Districts in Kenya</b:Title>
    <b:JournalName>Journal of Human Ecology</b:JournalName>
    <b:Year>2011</b:Year>
    <b:Volume>35</b:Volume>
    <b:Issue>1</b:Issue>
    <b:RefOrder>6</b:RefOrder>
  </b:Source>
  <b:Source>
    <b:Tag>Tou01</b:Tag>
    <b:SourceType>JournalArticle</b:SourceType>
    <b:Guid>{24701E15-383E-44E7-A7B0-37D68F955172}</b:Guid>
    <b:Author>
      <b:Author>
        <b:NameList>
          <b:Person>
            <b:Last>Toutain</b:Last>
            <b:First>Bernard</b:First>
          </b:Person>
        </b:NameList>
      </b:Author>
      <b:Editor>
        <b:NameList>
          <b:Person>
            <b:Last>E. Tielkes</b:Last>
            <b:First>E.</b:First>
            <b:Middle>Schlecht et P. Hiernaux</b:Middle>
          </b:Person>
        </b:NameList>
      </b:Editor>
    </b:Author>
    <b:Title>Le risque en pastoralisme : quelques considérations pour orienter les actions de développement</b:Title>
    <b:Year>2001</b:Year>
    <b:JournalName>Elevage et gestion de parcours au Sahel, implications pour le développement</b:JournalName>
    <b:RefOrder>7</b:RefOrder>
  </b:Source>
  <b:Source>
    <b:Tag>Daf02</b:Tag>
    <b:SourceType>JournalArticle</b:SourceType>
    <b:Guid>{C9BF8E62-929A-4A99-B857-E95146E700F2}</b:Guid>
    <b:Author>
      <b:Author>
        <b:NameList>
          <b:Person>
            <b:Last>Dafinger</b:Last>
            <b:First>A</b:First>
          </b:Person>
          <b:Person>
            <b:Last>Pelican</b:Last>
            <b:First>M</b:First>
          </b:Person>
        </b:NameList>
      </b:Author>
      <b:Editor>
        <b:NameList>
          <b:Person>
            <b:Last>Institute</b:Last>
            <b:First>Haale:/Saale:</b:First>
            <b:Middle>Max Planck</b:Middle>
          </b:Person>
        </b:NameList>
      </b:Editor>
    </b:Author>
    <b:Title>Land Rights and the Politics of Integration: Pastoralists' strategies in a comparative view</b:Title>
    <b:JournalName>Max Planck Institute for Social Anthropology</b:JournalName>
    <b:Year>2002</b:Year>
    <b:Issue>48</b:Issue>
    <b:RefOrder>8</b:RefOrder>
  </b:Source>
  <b:Source>
    <b:Tag>She08</b:Tag>
    <b:SourceType>JournalArticle</b:SourceType>
    <b:Guid>{DDB19A9C-F09B-4426-8185-9388E8E70449}</b:Guid>
    <b:Author>
      <b:Author>
        <b:NameList>
          <b:Person>
            <b:Last>Shettima</b:Last>
            <b:First>Abba,</b:First>
            <b:Middle>Gana</b:Middle>
          </b:Person>
          <b:Person>
            <b:Last>Tar</b:Last>
            <b:First>A,</b:First>
            <b:Middle>Usman</b:Middle>
          </b:Person>
        </b:NameList>
      </b:Author>
    </b:Author>
    <b:Title>Farmer-Pastoralists Conflicsts in West Africa: explauring the causes and consequences</b:Title>
    <b:JournalName>Information, Society and Justice</b:JournalName>
    <b:Year>2008</b:Year>
    <b:Pages>163-184</b:Pages>
    <b:Month>June</b:Month>
    <b:Volume>1</b:Volume>
    <b:Issue>2</b:Issue>
    <b:RefOrder>9</b:RefOrder>
  </b:Source>
  <b:Source>
    <b:Tag>Mor95</b:Tag>
    <b:SourceType>JournalArticle</b:SourceType>
    <b:Guid>{1C4E34C8-688C-49C5-8D24-22040B091F4A}</b:Guid>
    <b:Author>
      <b:Author>
        <b:NameList>
          <b:Person>
            <b:Last>Morduch</b:Last>
            <b:First>J</b:First>
          </b:Person>
        </b:NameList>
      </b:Author>
    </b:Author>
    <b:Title>Income smoothing and consumption smoothing</b:Title>
    <b:JournalName>The Journal of Economic Perspectives</b:JournalName>
    <b:Year>1995</b:Year>
    <b:Pages>103-114</b:Pages>
    <b:Volume>9</b:Volume>
    <b:Issue>3</b:Issue>
    <b:RefOrder>10</b:RefOrder>
  </b:Source>
  <b:Source>
    <b:Tag>Cla16</b:Tag>
    <b:SourceType>JournalArticle</b:SourceType>
    <b:Guid>{DF2CF278-D704-449A-A3D5-7B13346059CB}</b:Guid>
    <b:Author>
      <b:Author>
        <b:NameList>
          <b:Person>
            <b:Last>Clarke</b:Last>
            <b:First>Daniel</b:First>
          </b:Person>
        </b:NameList>
      </b:Author>
    </b:Author>
    <b:Title>A theory of rational demand for index insurance</b:Title>
    <b:Year>2016</b:Year>
    <b:JournalName>American economic associaiton: microeconomics</b:JournalName>
    <b:Pages>283-306</b:Pages>
    <b:Volume>8</b:Volume>
    <b:Issue>1</b:Issue>
    <b:RefOrder>11</b:RefOrder>
  </b:Source>
  <b:Source>
    <b:Tag>Syl17</b:Tag>
    <b:SourceType>JournalArticle</b:SourceType>
    <b:Guid>{3FCFD72E-3FF3-4590-96A0-729939F77850}</b:Guid>
    <b:Author>
      <b:Author>
        <b:NameList>
          <b:Person>
            <b:Last>Syll</b:Last>
            <b:First>M,</b:First>
            <b:Middle>M, A</b:Middle>
          </b:Person>
          <b:Person>
            <b:Last>Weingärtner</b:Last>
            <b:First>L</b:First>
          </b:Person>
        </b:NameList>
      </b:Author>
    </b:Author>
    <b:Title>Disposition à payer pour l'assurance agricole basée sur les indices climatiques au Sénégal</b:Title>
    <b:JournalName>Revue Française d'Economie</b:JournalName>
    <b:Year>2017</b:Year>
    <b:Pages>18-45</b:Pages>
    <b:Volume>32</b:Volume>
    <b:Issue>3</b:Issue>
    <b:RefOrder>12</b:RefOrder>
  </b:Source>
  <b:Source>
    <b:Tag>Mel11</b:Tag>
    <b:SourceType>JournalArticle</b:SourceType>
    <b:Guid>{9E2D6056-54EA-40F4-808A-D44CBB8F53DF}</b:Guid>
    <b:Author>
      <b:Author>
        <b:NameList>
          <b:Person>
            <b:Last>Milanesi</b:Last>
            <b:First>J</b:First>
          </b:Person>
        </b:NameList>
      </b:Author>
    </b:Author>
    <b:Title>Une histoire de la méthode d'évaluation contingente</b:Title>
    <b:Year>2011</b:Year>
    <b:JournalName>Genèses</b:JournalName>
    <b:Pages>6-24</b:Pages>
    <b:Issue>3</b:Issue>
    <b:RefOrder>13</b:RefOrder>
  </b:Source>
  <b:Source>
    <b:Tag>Fal17</b:Tag>
    <b:SourceType>DocumentFromInternetSite</b:SourceType>
    <b:Guid>{AE1F1B13-CFB2-4ECD-8809-51BA49893379}</b:Guid>
    <b:Title>Le sous secteur de l'élevage</b:Title>
    <b:Year>2017</b:Year>
    <b:InternetSiteTitle>www.p2rs.sn</b:InternetSiteTitle>
    <b:Month>11</b:Month>
    <b:Day>7</b:Day>
    <b:URL>http://www.p2rs.sn/content/le-sous-secteur-de-l%E2%80%99%C3%A9levage</b:URL>
    <b:Author>
      <b:Author>
        <b:NameList>
          <b:Person>
            <b:Last>Fall</b:Last>
            <b:First>Khady</b:First>
          </b:Person>
        </b:NameList>
      </b:Author>
    </b:Author>
    <b:RefOrder>1</b:RefOrder>
  </b:Source>
</b:Sources>
</file>

<file path=customXml/itemProps1.xml><?xml version="1.0" encoding="utf-8"?>
<ds:datastoreItem xmlns:ds="http://schemas.openxmlformats.org/officeDocument/2006/customXml" ds:itemID="{8DA34484-8129-463C-A430-487892AB8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41</Pages>
  <Words>14747</Words>
  <Characters>81111</Characters>
  <Application>Microsoft Office Word</Application>
  <DocSecurity>0</DocSecurity>
  <Lines>675</Lines>
  <Paragraphs>191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95667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Mame Mor</dc:creator>
  <cp:keywords/>
  <dc:description/>
  <cp:lastModifiedBy>Administrateur</cp:lastModifiedBy>
  <cp:revision>4</cp:revision>
  <dcterms:created xsi:type="dcterms:W3CDTF">2019-08-27T23:19:00Z</dcterms:created>
  <dcterms:modified xsi:type="dcterms:W3CDTF">2020-04-06T18:09:00Z</dcterms:modified>
</cp:coreProperties>
</file>