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8595" w14:textId="21736808" w:rsidR="3E7ABA2E" w:rsidRDefault="3E7ABA2E" w:rsidP="34B827FE">
      <w:pPr>
        <w:spacing w:beforeAutospacing="1" w:afterAutospacing="1" w:line="240" w:lineRule="auto"/>
        <w:jc w:val="both"/>
        <w:rPr>
          <w:rFonts w:eastAsiaTheme="minorEastAsia"/>
          <w:sz w:val="32"/>
          <w:szCs w:val="32"/>
          <w:lang w:val="fr-FR"/>
        </w:rPr>
      </w:pPr>
      <w:bookmarkStart w:id="0" w:name="_GoBack"/>
      <w:bookmarkEnd w:id="0"/>
      <w:r w:rsidRPr="34B827FE">
        <w:rPr>
          <w:rFonts w:eastAsiaTheme="minorEastAsia"/>
          <w:color w:val="2E74B5" w:themeColor="accent1" w:themeShade="BF"/>
          <w:sz w:val="32"/>
          <w:szCs w:val="32"/>
          <w:lang w:val="fr"/>
        </w:rPr>
        <w:t>Programme de partenariat du Réseau mondial contre les crises alimentaires</w:t>
      </w:r>
    </w:p>
    <w:p w14:paraId="41F94587" w14:textId="005D18FA" w:rsidR="34B827FE" w:rsidRDefault="34B827FE" w:rsidP="34B827FE">
      <w:pPr>
        <w:rPr>
          <w:rFonts w:eastAsiaTheme="minorEastAsia"/>
          <w:lang w:val="fr-FR"/>
        </w:rPr>
      </w:pPr>
    </w:p>
    <w:p w14:paraId="343C3A6B" w14:textId="0F12F47E" w:rsidR="3E7ABA2E" w:rsidRDefault="3E7ABA2E" w:rsidP="34B827FE">
      <w:pPr>
        <w:rPr>
          <w:rFonts w:eastAsiaTheme="minorEastAsia"/>
          <w:lang w:val="fr-FR"/>
        </w:rPr>
      </w:pPr>
      <w:r w:rsidRPr="34B827FE">
        <w:rPr>
          <w:rFonts w:eastAsiaTheme="minorEastAsia"/>
          <w:b/>
          <w:bCs/>
          <w:lang w:val="fr"/>
        </w:rPr>
        <w:t xml:space="preserve">Le projet « Renforcer la résilience des populations pastorales et agropastorales transfrontalières dans les zones prioritaires du Sahel » </w:t>
      </w:r>
      <w:r w:rsidRPr="34B827FE">
        <w:rPr>
          <w:rFonts w:eastAsiaTheme="minorEastAsia"/>
          <w:lang w:val="fr"/>
        </w:rPr>
        <w:t xml:space="preserve">s’intègre </w:t>
      </w:r>
      <w:proofErr w:type="gramStart"/>
      <w:r w:rsidRPr="34B827FE">
        <w:rPr>
          <w:rFonts w:eastAsiaTheme="minorEastAsia"/>
          <w:lang w:val="fr"/>
        </w:rPr>
        <w:t>dans  le</w:t>
      </w:r>
      <w:proofErr w:type="gramEnd"/>
      <w:r w:rsidRPr="34B827FE">
        <w:rPr>
          <w:rFonts w:eastAsiaTheme="minorEastAsia"/>
          <w:lang w:val="fr"/>
        </w:rPr>
        <w:t xml:space="preserve"> cadre de l'appui de l'Union Européenne à travers le  projet « Programme de partenariat du Réseau mondial contre les crises alimentaires ». Il touche la région du Sahel qui fait face à des situations de crises agropastorales récurrentes d’ordre structurel et conjoncturel, aggravées par des crises agro-climatiques et sécuritaires, qui affectent les moyens d’existence des populations basés sur l’agriculture et l’élevage avec des conséquences négatives sur la sécurité alimentaire et nutritionnelle des ménages. Le projet présente une composante régionale (Sahel G5) et des actions de terrain au Burkina Faso, le Mali et le Niger.</w:t>
      </w:r>
    </w:p>
    <w:p w14:paraId="29AE33E2" w14:textId="10C11A73" w:rsidR="3E7ABA2E" w:rsidRDefault="3E7ABA2E" w:rsidP="34B827FE">
      <w:pPr>
        <w:rPr>
          <w:rFonts w:eastAsiaTheme="minorEastAsia"/>
          <w:lang w:val="fr-FR"/>
        </w:rPr>
      </w:pPr>
      <w:r w:rsidRPr="34B827FE">
        <w:rPr>
          <w:rFonts w:eastAsiaTheme="minorEastAsia"/>
          <w:lang w:val="fr"/>
        </w:rPr>
        <w:t xml:space="preserve">Un cadre de suivi, d'évaluation et d'apprentissage (MEL) a été établis pour les 10 projets du Programme de partenariat afin de mesurer la contribution des projets à la résilience à l'insécurité alimentaire des bénéficiaires ciblés et de contribuer aux connaissances sur un ensemble de typologies d'options de réponse efficaces. Les des études de référence représentent la fondation de ce cadre.  </w:t>
      </w:r>
    </w:p>
    <w:p w14:paraId="2CAE9B0E" w14:textId="0800093B" w:rsidR="3E7ABA2E" w:rsidRDefault="3E7ABA2E" w:rsidP="34B827FE">
      <w:pPr>
        <w:rPr>
          <w:rFonts w:eastAsiaTheme="minorEastAsia"/>
          <w:sz w:val="32"/>
          <w:szCs w:val="32"/>
          <w:lang w:val="fr-FR"/>
        </w:rPr>
      </w:pPr>
      <w:r w:rsidRPr="34B827FE">
        <w:rPr>
          <w:rFonts w:eastAsiaTheme="minorEastAsia"/>
          <w:color w:val="2E74B5" w:themeColor="accent1" w:themeShade="BF"/>
          <w:sz w:val="32"/>
          <w:szCs w:val="32"/>
          <w:lang w:val="fr"/>
        </w:rPr>
        <w:t>Le projet pastoral au Sahel</w:t>
      </w:r>
    </w:p>
    <w:p w14:paraId="76C6DCED" w14:textId="0E18DD52" w:rsidR="3E7ABA2E" w:rsidRDefault="3E7ABA2E" w:rsidP="34B827FE">
      <w:pPr>
        <w:rPr>
          <w:rFonts w:eastAsiaTheme="minorEastAsia"/>
          <w:lang w:val="fr-FR"/>
        </w:rPr>
      </w:pPr>
      <w:r w:rsidRPr="34B827FE">
        <w:rPr>
          <w:rFonts w:eastAsiaTheme="minorEastAsia"/>
          <w:lang w:val="fr"/>
        </w:rPr>
        <w:t xml:space="preserve">Le projet vise à contribuer à la résilience des populations pastorales et agropastorales transfrontalières pour prévenir et atténuer l’impact des risques agro-climatiques et sécuritaires sur la sécurité alimentaire. Le projet contribuera à l’impact en renforçant la résilience et la sécurité alimentaire des pasteurs et des agropasteurs du Sahel à travers l’amélioration des systèmes d’information et d’alerte précoce, le renforcement des services d’appui et la promotion </w:t>
      </w:r>
      <w:proofErr w:type="gramStart"/>
      <w:r w:rsidRPr="34B827FE">
        <w:rPr>
          <w:rFonts w:eastAsiaTheme="minorEastAsia"/>
          <w:lang w:val="fr"/>
        </w:rPr>
        <w:t>des bonne pratiques</w:t>
      </w:r>
      <w:proofErr w:type="gramEnd"/>
      <w:r w:rsidRPr="34B827FE">
        <w:rPr>
          <w:rFonts w:eastAsiaTheme="minorEastAsia"/>
          <w:lang w:val="fr"/>
        </w:rPr>
        <w:t xml:space="preserve"> de production et de cohésion sociale.</w:t>
      </w:r>
    </w:p>
    <w:p w14:paraId="492D79F7" w14:textId="7BA8910F" w:rsidR="34B827FE" w:rsidRDefault="34B827FE" w:rsidP="34B827FE">
      <w:pPr>
        <w:jc w:val="both"/>
        <w:rPr>
          <w:rFonts w:eastAsiaTheme="minorEastAsia"/>
          <w:b/>
          <w:bCs/>
          <w:color w:val="0070C0"/>
          <w:u w:val="single"/>
          <w:lang w:val="fr-FR"/>
        </w:rPr>
      </w:pPr>
    </w:p>
    <w:p w14:paraId="0838ABF1" w14:textId="768CD663" w:rsidR="00F15ACD" w:rsidRPr="007559BD" w:rsidRDefault="21979AB0" w:rsidP="34B827FE">
      <w:pPr>
        <w:spacing w:beforeAutospacing="1" w:afterAutospacing="1" w:line="240" w:lineRule="auto"/>
        <w:jc w:val="both"/>
        <w:rPr>
          <w:rFonts w:eastAsiaTheme="minorEastAsia"/>
          <w:color w:val="2E74B5" w:themeColor="accent1" w:themeShade="BF"/>
          <w:sz w:val="32"/>
          <w:szCs w:val="32"/>
          <w:lang w:val="fr-FR"/>
        </w:rPr>
      </w:pPr>
      <w:r w:rsidRPr="34B827FE">
        <w:rPr>
          <w:rFonts w:eastAsiaTheme="minorEastAsia"/>
          <w:color w:val="2E74B5" w:themeColor="accent1" w:themeShade="BF"/>
          <w:sz w:val="32"/>
          <w:szCs w:val="32"/>
          <w:lang w:val="fr-FR"/>
        </w:rPr>
        <w:t>C</w:t>
      </w:r>
      <w:r w:rsidR="00F15ACD" w:rsidRPr="34B827FE">
        <w:rPr>
          <w:rFonts w:eastAsiaTheme="minorEastAsia"/>
          <w:color w:val="2E74B5" w:themeColor="accent1" w:themeShade="BF"/>
          <w:sz w:val="32"/>
          <w:szCs w:val="32"/>
          <w:lang w:val="fr-FR"/>
        </w:rPr>
        <w:t>ontexte</w:t>
      </w:r>
    </w:p>
    <w:p w14:paraId="2D622A5F" w14:textId="27E78BE7" w:rsidR="00031BB4" w:rsidRPr="000B787D" w:rsidRDefault="195ED6FA" w:rsidP="34B827FE">
      <w:pPr>
        <w:pBdr>
          <w:top w:val="single" w:sz="4" w:space="1" w:color="00B0F0"/>
          <w:left w:val="single" w:sz="4" w:space="4" w:color="00B0F0"/>
          <w:bottom w:val="single" w:sz="4" w:space="1" w:color="00B0F0"/>
          <w:right w:val="single" w:sz="4" w:space="4" w:color="00B0F0"/>
        </w:pBdr>
        <w:jc w:val="both"/>
        <w:rPr>
          <w:rFonts w:eastAsiaTheme="minorEastAsia"/>
          <w:lang w:val="fr-FR"/>
        </w:rPr>
      </w:pPr>
      <w:r w:rsidRPr="34B827FE">
        <w:rPr>
          <w:rFonts w:eastAsiaTheme="minorEastAsia"/>
          <w:lang w:val="fr-FR"/>
        </w:rPr>
        <w:t>Le Niger à l’instar des autres pays du Sahel (Mali, Burkina Faso) est confronté à des crises agropastorales essentiellement dues à des sécheresses consécutives et une forte variabilité climatique.  Ces crises ont pour conséquences la réduction des moyens d’existence des populations basés sur l’agriculture et l’élevage aggravant ainsi l’insécurité alimentaire et la malnutrition au sein des ménages. Elles sont exacerbées par l’insécurité qui sévit dans les communes transfrontalières.</w:t>
      </w:r>
      <w:r w:rsidR="00977FAE" w:rsidRPr="34B827FE">
        <w:rPr>
          <w:rFonts w:eastAsiaTheme="minorEastAsia"/>
          <w:lang w:val="fr-FR"/>
        </w:rPr>
        <w:t xml:space="preserve"> </w:t>
      </w:r>
      <w:r w:rsidR="29577911" w:rsidRPr="34B827FE">
        <w:rPr>
          <w:rFonts w:eastAsiaTheme="minorEastAsia"/>
          <w:lang w:val="fr-FR"/>
        </w:rPr>
        <w:t xml:space="preserve">Les </w:t>
      </w:r>
      <w:r w:rsidR="51EF9038" w:rsidRPr="34B827FE">
        <w:rPr>
          <w:rFonts w:eastAsiaTheme="minorEastAsia"/>
          <w:lang w:val="fr-FR"/>
        </w:rPr>
        <w:t xml:space="preserve">messages clés et recommandations </w:t>
      </w:r>
      <w:r w:rsidR="52716D50" w:rsidRPr="34B827FE">
        <w:rPr>
          <w:rFonts w:eastAsiaTheme="minorEastAsia"/>
          <w:lang w:val="fr-FR"/>
        </w:rPr>
        <w:t xml:space="preserve">suivants </w:t>
      </w:r>
      <w:r w:rsidR="51EF9038" w:rsidRPr="34B827FE">
        <w:rPr>
          <w:rFonts w:eastAsiaTheme="minorEastAsia"/>
          <w:lang w:val="fr-FR"/>
        </w:rPr>
        <w:t>sont tirés d’une</w:t>
      </w:r>
      <w:r w:rsidR="1F7F03AF" w:rsidRPr="34B827FE">
        <w:rPr>
          <w:rFonts w:eastAsiaTheme="minorEastAsia"/>
          <w:lang w:val="fr-FR"/>
        </w:rPr>
        <w:t xml:space="preserve"> </w:t>
      </w:r>
      <w:r w:rsidR="27BB5808" w:rsidRPr="34B827FE">
        <w:rPr>
          <w:rFonts w:eastAsiaTheme="minorEastAsia"/>
          <w:lang w:val="fr-FR"/>
        </w:rPr>
        <w:t>é</w:t>
      </w:r>
      <w:r w:rsidR="3AC93226" w:rsidRPr="34B827FE">
        <w:rPr>
          <w:rFonts w:eastAsiaTheme="minorEastAsia"/>
          <w:lang w:val="fr-FR"/>
        </w:rPr>
        <w:t xml:space="preserve">tude </w:t>
      </w:r>
      <w:r w:rsidR="5A6000E2" w:rsidRPr="34B827FE">
        <w:rPr>
          <w:rFonts w:eastAsiaTheme="minorEastAsia"/>
          <w:lang w:val="fr-FR"/>
        </w:rPr>
        <w:t xml:space="preserve">de référence </w:t>
      </w:r>
      <w:r w:rsidR="11D6D71C" w:rsidRPr="34B827FE">
        <w:rPr>
          <w:rFonts w:eastAsiaTheme="minorEastAsia"/>
          <w:lang w:val="fr-FR"/>
        </w:rPr>
        <w:t>qui</w:t>
      </w:r>
      <w:r w:rsidR="3AC93226" w:rsidRPr="34B827FE">
        <w:rPr>
          <w:rFonts w:eastAsiaTheme="minorEastAsia"/>
          <w:lang w:val="fr-FR"/>
        </w:rPr>
        <w:t xml:space="preserve"> a</w:t>
      </w:r>
      <w:r w:rsidR="4A5E3E08" w:rsidRPr="34B827FE">
        <w:rPr>
          <w:rFonts w:eastAsiaTheme="minorEastAsia"/>
          <w:lang w:val="fr-FR"/>
        </w:rPr>
        <w:t xml:space="preserve"> été menée dans les régions de </w:t>
      </w:r>
      <w:proofErr w:type="spellStart"/>
      <w:r w:rsidR="4A5E3E08" w:rsidRPr="34B827FE">
        <w:rPr>
          <w:rFonts w:eastAsiaTheme="minorEastAsia"/>
          <w:lang w:val="fr-FR"/>
        </w:rPr>
        <w:t>Tillabéri</w:t>
      </w:r>
      <w:proofErr w:type="spellEnd"/>
      <w:r w:rsidR="4A5E3E08" w:rsidRPr="34B827FE">
        <w:rPr>
          <w:rFonts w:eastAsiaTheme="minorEastAsia"/>
          <w:lang w:val="fr-FR"/>
        </w:rPr>
        <w:t xml:space="preserve"> et Tahoua en mi-2019</w:t>
      </w:r>
      <w:r w:rsidR="49E15C76" w:rsidRPr="34B827FE">
        <w:rPr>
          <w:rFonts w:eastAsiaTheme="minorEastAsia"/>
          <w:lang w:val="fr-FR"/>
        </w:rPr>
        <w:t xml:space="preserve"> dans le cadre d</w:t>
      </w:r>
      <w:r w:rsidR="3AEFC08F" w:rsidRPr="34B827FE">
        <w:rPr>
          <w:rFonts w:eastAsiaTheme="minorEastAsia"/>
          <w:lang w:val="fr-FR"/>
        </w:rPr>
        <w:t xml:space="preserve">u </w:t>
      </w:r>
      <w:r w:rsidR="458E88B4" w:rsidRPr="34B827FE">
        <w:rPr>
          <w:rFonts w:eastAsiaTheme="minorEastAsia"/>
          <w:lang w:val="fr-FR"/>
        </w:rPr>
        <w:t>partenariat</w:t>
      </w:r>
      <w:r w:rsidR="00EA6230" w:rsidRPr="34B827FE">
        <w:rPr>
          <w:rFonts w:eastAsiaTheme="minorEastAsia"/>
          <w:lang w:val="fr-FR"/>
        </w:rPr>
        <w:t xml:space="preserve"> entre la FAO et l’Union E</w:t>
      </w:r>
      <w:r w:rsidR="3AEFC08F" w:rsidRPr="34B827FE">
        <w:rPr>
          <w:rFonts w:eastAsiaTheme="minorEastAsia"/>
          <w:lang w:val="fr-FR"/>
        </w:rPr>
        <w:t xml:space="preserve">uropéenne (EU), </w:t>
      </w:r>
      <w:r w:rsidR="45D739A8" w:rsidRPr="34B827FE">
        <w:rPr>
          <w:rFonts w:eastAsiaTheme="minorEastAsia"/>
          <w:lang w:val="fr-FR"/>
        </w:rPr>
        <w:t>à</w:t>
      </w:r>
      <w:r w:rsidR="3AEFC08F" w:rsidRPr="34B827FE">
        <w:rPr>
          <w:rFonts w:eastAsiaTheme="minorEastAsia"/>
          <w:lang w:val="fr-FR"/>
        </w:rPr>
        <w:t xml:space="preserve"> travers le </w:t>
      </w:r>
      <w:r w:rsidR="3DB4AEC3" w:rsidRPr="34B827FE">
        <w:rPr>
          <w:rFonts w:eastAsiaTheme="minorEastAsia"/>
          <w:lang w:val="fr-FR"/>
        </w:rPr>
        <w:t>Réseau</w:t>
      </w:r>
      <w:r w:rsidR="270610B8" w:rsidRPr="34B827FE">
        <w:rPr>
          <w:rFonts w:eastAsiaTheme="minorEastAsia"/>
          <w:lang w:val="fr-FR"/>
        </w:rPr>
        <w:t xml:space="preserve"> mondial contre les crises </w:t>
      </w:r>
      <w:r w:rsidR="7904811F" w:rsidRPr="34B827FE">
        <w:rPr>
          <w:rFonts w:eastAsiaTheme="minorEastAsia"/>
          <w:lang w:val="fr-FR"/>
        </w:rPr>
        <w:t>alimentaires</w:t>
      </w:r>
      <w:r w:rsidR="047E51E2" w:rsidRPr="34B827FE">
        <w:rPr>
          <w:rFonts w:eastAsiaTheme="minorEastAsia"/>
          <w:lang w:val="fr-FR"/>
        </w:rPr>
        <w:t>.</w:t>
      </w:r>
      <w:r w:rsidR="76B3D8D0" w:rsidRPr="34B827FE">
        <w:rPr>
          <w:rFonts w:eastAsiaTheme="minorEastAsia"/>
          <w:lang w:val="fr-FR"/>
        </w:rPr>
        <w:t xml:space="preserve"> </w:t>
      </w:r>
      <w:r w:rsidR="270610B8" w:rsidRPr="34B827FE">
        <w:rPr>
          <w:rFonts w:eastAsiaTheme="minorEastAsia"/>
          <w:lang w:val="fr-FR"/>
        </w:rPr>
        <w:t xml:space="preserve"> </w:t>
      </w:r>
      <w:r w:rsidR="49E15C76" w:rsidRPr="34B827FE">
        <w:rPr>
          <w:rFonts w:eastAsiaTheme="minorEastAsia"/>
          <w:lang w:val="fr-FR"/>
        </w:rPr>
        <w:t xml:space="preserve"> </w:t>
      </w:r>
    </w:p>
    <w:p w14:paraId="5E5DBEDA" w14:textId="01EAF6AD" w:rsidR="5F7C943E" w:rsidRDefault="5F7C943E" w:rsidP="34B827FE">
      <w:pPr>
        <w:jc w:val="both"/>
        <w:rPr>
          <w:rFonts w:eastAsiaTheme="minorEastAsia"/>
          <w:color w:val="2E74B5" w:themeColor="accent1" w:themeShade="BF"/>
          <w:sz w:val="32"/>
          <w:szCs w:val="32"/>
          <w:lang w:val="fr-FR"/>
        </w:rPr>
      </w:pPr>
      <w:r w:rsidRPr="34B827FE">
        <w:rPr>
          <w:rFonts w:eastAsiaTheme="minorEastAsia"/>
          <w:color w:val="2E74B5" w:themeColor="accent1" w:themeShade="BF"/>
          <w:sz w:val="32"/>
          <w:szCs w:val="32"/>
          <w:lang w:val="fr-FR"/>
        </w:rPr>
        <w:t>Résumé des résultats</w:t>
      </w:r>
    </w:p>
    <w:p w14:paraId="514E3493" w14:textId="003EBEBD" w:rsidR="2C5571A6" w:rsidRDefault="2C5571A6" w:rsidP="34B827FE">
      <w:pPr>
        <w:pBdr>
          <w:top w:val="single" w:sz="4" w:space="1" w:color="00B0F0"/>
          <w:left w:val="single" w:sz="4" w:space="4" w:color="00B0F0"/>
          <w:bottom w:val="single" w:sz="4" w:space="1" w:color="00B0F0"/>
          <w:right w:val="single" w:sz="4" w:space="4" w:color="00B0F0"/>
        </w:pBdr>
        <w:jc w:val="both"/>
        <w:rPr>
          <w:rFonts w:eastAsiaTheme="minorEastAsia"/>
          <w:lang w:val="fr-FR"/>
        </w:rPr>
      </w:pPr>
      <w:r w:rsidRPr="34B827FE">
        <w:rPr>
          <w:rFonts w:eastAsiaTheme="minorEastAsia"/>
          <w:lang w:val="fr-FR"/>
        </w:rPr>
        <w:t>La mo</w:t>
      </w:r>
      <w:r w:rsidR="7A4B6D08" w:rsidRPr="34B827FE">
        <w:rPr>
          <w:rFonts w:eastAsiaTheme="minorEastAsia"/>
          <w:lang w:val="fr-FR"/>
        </w:rPr>
        <w:t>i</w:t>
      </w:r>
      <w:r w:rsidRPr="34B827FE">
        <w:rPr>
          <w:rFonts w:eastAsiaTheme="minorEastAsia"/>
          <w:lang w:val="fr-FR"/>
        </w:rPr>
        <w:t>tié des ménages</w:t>
      </w:r>
      <w:r w:rsidR="53171CE5" w:rsidRPr="34B827FE">
        <w:rPr>
          <w:rFonts w:eastAsiaTheme="minorEastAsia"/>
          <w:lang w:val="fr-FR"/>
        </w:rPr>
        <w:t xml:space="preserve"> dans les communes d’intervention du projet dans</w:t>
      </w:r>
      <w:r w:rsidRPr="34B827FE">
        <w:rPr>
          <w:rFonts w:eastAsiaTheme="minorEastAsia"/>
          <w:lang w:val="fr-FR"/>
        </w:rPr>
        <w:t xml:space="preserve"> la région </w:t>
      </w:r>
      <w:proofErr w:type="spellStart"/>
      <w:r w:rsidRPr="34B827FE">
        <w:rPr>
          <w:rFonts w:eastAsiaTheme="minorEastAsia"/>
          <w:lang w:val="fr-FR"/>
        </w:rPr>
        <w:t>Tillabéri</w:t>
      </w:r>
      <w:proofErr w:type="spellEnd"/>
      <w:r w:rsidRPr="34B827FE">
        <w:rPr>
          <w:rFonts w:eastAsiaTheme="minorEastAsia"/>
          <w:lang w:val="fr-FR"/>
        </w:rPr>
        <w:t xml:space="preserve"> et 80% de ceux de la région </w:t>
      </w:r>
      <w:r w:rsidR="687EB15C" w:rsidRPr="34B827FE">
        <w:rPr>
          <w:rFonts w:eastAsiaTheme="minorEastAsia"/>
          <w:lang w:val="fr-FR"/>
        </w:rPr>
        <w:t xml:space="preserve">de Tahoua vivent une situation d’insécurité alimentaire. </w:t>
      </w:r>
      <w:r w:rsidR="79AE9285" w:rsidRPr="34B827FE">
        <w:rPr>
          <w:rFonts w:eastAsiaTheme="minorEastAsia"/>
          <w:lang w:val="fr-FR"/>
        </w:rPr>
        <w:t xml:space="preserve">Les ménages cultivateurs, </w:t>
      </w:r>
      <w:r w:rsidR="79AE9285" w:rsidRPr="34B827FE">
        <w:rPr>
          <w:rFonts w:eastAsiaTheme="minorEastAsia"/>
          <w:lang w:val="fr-FR"/>
        </w:rPr>
        <w:lastRenderedPageBreak/>
        <w:t>agropasteurs, et dépendants des transferts et d’assistance humanitaire sont les moins résilients face aux facteurs déstabilisants</w:t>
      </w:r>
      <w:r w:rsidR="131DED60" w:rsidRPr="34B827FE">
        <w:rPr>
          <w:rFonts w:eastAsiaTheme="minorEastAsia"/>
          <w:lang w:val="fr-FR"/>
        </w:rPr>
        <w:t xml:space="preserve"> leur sécurité alimentaire. </w:t>
      </w:r>
      <w:r w:rsidR="196C7A2A" w:rsidRPr="34B827FE">
        <w:rPr>
          <w:rFonts w:eastAsiaTheme="minorEastAsia"/>
          <w:lang w:val="fr-FR"/>
        </w:rPr>
        <w:t>Une approche concertée pour un meilleur accès des population</w:t>
      </w:r>
      <w:r w:rsidR="55EAAFA7" w:rsidRPr="34B827FE">
        <w:rPr>
          <w:rFonts w:eastAsiaTheme="minorEastAsia"/>
          <w:lang w:val="fr-FR"/>
        </w:rPr>
        <w:t>s</w:t>
      </w:r>
      <w:r w:rsidR="196C7A2A" w:rsidRPr="34B827FE">
        <w:rPr>
          <w:rFonts w:eastAsiaTheme="minorEastAsia"/>
          <w:lang w:val="fr-FR"/>
        </w:rPr>
        <w:t xml:space="preserve"> aux services de base et à des filets sociaux adéquats permettrait d’améliorer la situation. </w:t>
      </w:r>
      <w:r w:rsidR="015CE4B1" w:rsidRPr="34B827FE">
        <w:rPr>
          <w:rFonts w:eastAsiaTheme="minorEastAsia"/>
          <w:lang w:val="fr-FR"/>
        </w:rPr>
        <w:t>Il est aussi important d’introduire et/ou renforcer les composantes locales de collaboration entre les producteurs agricoles et les éleveurs dans les interventions afin de renforcer le tissu social et les meilleures pratiques dans un environnement de coexistence de ces deux catégories de populations.</w:t>
      </w:r>
      <w:r w:rsidR="79AE9285" w:rsidRPr="34B827FE">
        <w:rPr>
          <w:rFonts w:eastAsiaTheme="minorEastAsia"/>
          <w:lang w:val="fr-FR"/>
        </w:rPr>
        <w:t xml:space="preserve"> </w:t>
      </w:r>
      <w:r w:rsidR="04564845" w:rsidRPr="34B827FE">
        <w:rPr>
          <w:rFonts w:eastAsiaTheme="minorEastAsia"/>
          <w:lang w:val="fr-FR"/>
        </w:rPr>
        <w:t xml:space="preserve"> </w:t>
      </w:r>
    </w:p>
    <w:p w14:paraId="3233BFE4" w14:textId="46EEBB57" w:rsidR="00031BB4" w:rsidRPr="007559BD" w:rsidRDefault="2FE1ED1D" w:rsidP="34B827FE">
      <w:pPr>
        <w:spacing w:beforeAutospacing="1" w:afterAutospacing="1" w:line="240" w:lineRule="auto"/>
        <w:jc w:val="both"/>
        <w:rPr>
          <w:rFonts w:eastAsiaTheme="minorEastAsia"/>
          <w:color w:val="2E74B5" w:themeColor="accent1" w:themeShade="BF"/>
          <w:sz w:val="32"/>
          <w:szCs w:val="32"/>
          <w:lang w:val="fr-FR"/>
        </w:rPr>
      </w:pPr>
      <w:r w:rsidRPr="34B827FE">
        <w:rPr>
          <w:rFonts w:eastAsiaTheme="minorEastAsia"/>
          <w:color w:val="2E74B5" w:themeColor="accent1" w:themeShade="BF"/>
          <w:sz w:val="32"/>
          <w:szCs w:val="32"/>
          <w:lang w:val="fr-FR"/>
        </w:rPr>
        <w:t xml:space="preserve">Messages clés - </w:t>
      </w:r>
      <w:r w:rsidR="00031BB4" w:rsidRPr="34B827FE">
        <w:rPr>
          <w:rFonts w:eastAsiaTheme="minorEastAsia"/>
          <w:color w:val="2E74B5" w:themeColor="accent1" w:themeShade="BF"/>
          <w:sz w:val="32"/>
          <w:szCs w:val="32"/>
          <w:lang w:val="fr-FR"/>
        </w:rPr>
        <w:t xml:space="preserve">Sécurité alimentaire </w:t>
      </w:r>
    </w:p>
    <w:p w14:paraId="17E6FDF3" w14:textId="4DF4499A" w:rsidR="00031BB4" w:rsidRPr="000B787D" w:rsidRDefault="00031BB4" w:rsidP="34B827FE">
      <w:pPr>
        <w:jc w:val="both"/>
        <w:rPr>
          <w:rFonts w:eastAsiaTheme="minorEastAsia"/>
          <w:lang w:val="fr-FR"/>
        </w:rPr>
      </w:pPr>
      <w:r w:rsidRPr="34B827FE">
        <w:rPr>
          <w:rFonts w:eastAsiaTheme="minorEastAsia"/>
          <w:lang w:val="fr-FR"/>
        </w:rPr>
        <w:t>La situation de l’insécurité alimentaire</w:t>
      </w:r>
      <w:r w:rsidR="0097146C" w:rsidRPr="34B827FE">
        <w:rPr>
          <w:rFonts w:eastAsiaTheme="minorEastAsia"/>
          <w:lang w:val="fr-FR"/>
        </w:rPr>
        <w:t>,</w:t>
      </w:r>
      <w:r w:rsidRPr="34B827FE">
        <w:rPr>
          <w:rFonts w:eastAsiaTheme="minorEastAsia"/>
          <w:lang w:val="fr-FR"/>
        </w:rPr>
        <w:t xml:space="preserve"> </w:t>
      </w:r>
      <w:r w:rsidR="0097146C" w:rsidRPr="34B827FE">
        <w:rPr>
          <w:rFonts w:eastAsiaTheme="minorEastAsia"/>
          <w:lang w:val="fr-FR"/>
        </w:rPr>
        <w:t>appréhendée</w:t>
      </w:r>
      <w:r w:rsidRPr="34B827FE">
        <w:rPr>
          <w:rFonts w:eastAsiaTheme="minorEastAsia"/>
          <w:lang w:val="fr-FR"/>
        </w:rPr>
        <w:t xml:space="preserve"> à travers l’</w:t>
      </w:r>
      <w:r w:rsidR="0097146C" w:rsidRPr="34B827FE">
        <w:rPr>
          <w:rFonts w:eastAsiaTheme="minorEastAsia"/>
          <w:lang w:val="fr-FR"/>
        </w:rPr>
        <w:t>accès</w:t>
      </w:r>
      <w:r w:rsidRPr="34B827FE">
        <w:rPr>
          <w:rFonts w:eastAsiaTheme="minorEastAsia"/>
          <w:lang w:val="fr-FR"/>
        </w:rPr>
        <w:t xml:space="preserve"> des ménages à la nourriture</w:t>
      </w:r>
      <w:r w:rsidR="0097146C" w:rsidRPr="34B827FE">
        <w:rPr>
          <w:rFonts w:eastAsiaTheme="minorEastAsia"/>
          <w:lang w:val="fr-FR"/>
        </w:rPr>
        <w:t>,</w:t>
      </w:r>
      <w:r w:rsidRPr="34B827FE">
        <w:rPr>
          <w:rFonts w:eastAsiaTheme="minorEastAsia"/>
          <w:lang w:val="fr-FR"/>
        </w:rPr>
        <w:t xml:space="preserve"> est un problème majeur dans les </w:t>
      </w:r>
      <w:r w:rsidR="0097146C" w:rsidRPr="34B827FE">
        <w:rPr>
          <w:rFonts w:eastAsiaTheme="minorEastAsia"/>
          <w:lang w:val="fr-FR"/>
        </w:rPr>
        <w:t>régions</w:t>
      </w:r>
      <w:r w:rsidRPr="34B827FE">
        <w:rPr>
          <w:rFonts w:eastAsiaTheme="minorEastAsia"/>
          <w:lang w:val="fr-FR"/>
        </w:rPr>
        <w:t xml:space="preserve"> de l’étude </w:t>
      </w:r>
      <w:r w:rsidR="0097146C" w:rsidRPr="34B827FE">
        <w:rPr>
          <w:rFonts w:eastAsiaTheme="minorEastAsia"/>
          <w:lang w:val="fr-FR"/>
        </w:rPr>
        <w:t xml:space="preserve">et </w:t>
      </w:r>
      <w:r w:rsidRPr="34B827FE">
        <w:rPr>
          <w:rFonts w:eastAsiaTheme="minorEastAsia"/>
          <w:lang w:val="fr-FR"/>
        </w:rPr>
        <w:t xml:space="preserve">appelle à des interventions d’urgence. Dans la </w:t>
      </w:r>
      <w:r w:rsidR="0097146C" w:rsidRPr="34B827FE">
        <w:rPr>
          <w:rFonts w:eastAsiaTheme="minorEastAsia"/>
          <w:lang w:val="fr-FR"/>
        </w:rPr>
        <w:t>région</w:t>
      </w:r>
      <w:r w:rsidRPr="34B827FE">
        <w:rPr>
          <w:rFonts w:eastAsiaTheme="minorEastAsia"/>
          <w:lang w:val="fr-FR"/>
        </w:rPr>
        <w:t xml:space="preserve"> de Tahoua, près de 80% des ménages sont en insécurité alimentaire dont 7</w:t>
      </w:r>
      <w:r w:rsidR="1B076187" w:rsidRPr="34B827FE">
        <w:rPr>
          <w:rFonts w:eastAsiaTheme="minorEastAsia"/>
          <w:lang w:val="fr-FR"/>
        </w:rPr>
        <w:t>3</w:t>
      </w:r>
      <w:r w:rsidRPr="34B827FE">
        <w:rPr>
          <w:rFonts w:eastAsiaTheme="minorEastAsia"/>
          <w:lang w:val="fr-FR"/>
        </w:rPr>
        <w:t xml:space="preserve"> % connaissent une grave insécurité alimentaire (manque de nourriture, dormir affamé, passe toute une nuit et toute une journée sans manger) et 1</w:t>
      </w:r>
      <w:r w:rsidR="13204A3F" w:rsidRPr="34B827FE">
        <w:rPr>
          <w:rFonts w:eastAsiaTheme="minorEastAsia"/>
          <w:lang w:val="fr-FR"/>
        </w:rPr>
        <w:t>7</w:t>
      </w:r>
      <w:r w:rsidRPr="34B827FE">
        <w:rPr>
          <w:rFonts w:eastAsiaTheme="minorEastAsia"/>
          <w:lang w:val="fr-FR"/>
        </w:rPr>
        <w:t xml:space="preserve">% une insécurité alimentaire modérée, et vivent en adoptant un régime alimentaire monotone, mangeant des aliments moins préférés et parfois réduisant la quantité et le nombre de repas par jour. Par ailleurs, la moitié de la population dans la </w:t>
      </w:r>
      <w:r w:rsidR="0097146C" w:rsidRPr="34B827FE">
        <w:rPr>
          <w:rFonts w:eastAsiaTheme="minorEastAsia"/>
          <w:lang w:val="fr-FR"/>
        </w:rPr>
        <w:t>région</w:t>
      </w:r>
      <w:r w:rsidRPr="34B827FE">
        <w:rPr>
          <w:rFonts w:eastAsiaTheme="minorEastAsia"/>
          <w:lang w:val="fr-FR"/>
        </w:rPr>
        <w:t xml:space="preserve"> </w:t>
      </w:r>
      <w:r w:rsidR="0097146C" w:rsidRPr="34B827FE">
        <w:rPr>
          <w:rFonts w:eastAsiaTheme="minorEastAsia"/>
          <w:lang w:val="fr-FR"/>
        </w:rPr>
        <w:t xml:space="preserve">de </w:t>
      </w:r>
      <w:proofErr w:type="spellStart"/>
      <w:r w:rsidRPr="34B827FE">
        <w:rPr>
          <w:rFonts w:eastAsiaTheme="minorEastAsia"/>
          <w:lang w:val="fr-FR"/>
        </w:rPr>
        <w:t>Tillabéri</w:t>
      </w:r>
      <w:proofErr w:type="spellEnd"/>
      <w:r w:rsidRPr="34B827FE">
        <w:rPr>
          <w:rFonts w:eastAsiaTheme="minorEastAsia"/>
          <w:lang w:val="fr-FR"/>
        </w:rPr>
        <w:t xml:space="preserve"> est en insécurité alimen</w:t>
      </w:r>
      <w:r w:rsidR="00010FE8" w:rsidRPr="34B827FE">
        <w:rPr>
          <w:rFonts w:eastAsiaTheme="minorEastAsia"/>
          <w:lang w:val="fr-FR"/>
        </w:rPr>
        <w:t xml:space="preserve">taire dont </w:t>
      </w:r>
      <w:r w:rsidR="28D7D815" w:rsidRPr="34B827FE">
        <w:rPr>
          <w:rFonts w:eastAsiaTheme="minorEastAsia"/>
          <w:lang w:val="fr-FR"/>
        </w:rPr>
        <w:t>70</w:t>
      </w:r>
      <w:r w:rsidR="00010FE8" w:rsidRPr="34B827FE">
        <w:rPr>
          <w:rFonts w:eastAsiaTheme="minorEastAsia"/>
          <w:lang w:val="fr-FR"/>
        </w:rPr>
        <w:t xml:space="preserve">% sont en état </w:t>
      </w:r>
      <w:r w:rsidRPr="34B827FE">
        <w:rPr>
          <w:rFonts w:eastAsiaTheme="minorEastAsia"/>
          <w:lang w:val="fr-FR"/>
        </w:rPr>
        <w:t>d’insécurité alimentaire grave.</w:t>
      </w:r>
    </w:p>
    <w:p w14:paraId="6235026E" w14:textId="1ED00EC9" w:rsidR="00031BB4" w:rsidRPr="000B787D" w:rsidRDefault="00031BB4" w:rsidP="34B827FE">
      <w:pPr>
        <w:jc w:val="both"/>
        <w:rPr>
          <w:rFonts w:eastAsiaTheme="minorEastAsia"/>
          <w:b/>
          <w:bCs/>
          <w:lang w:val="fr-FR"/>
        </w:rPr>
      </w:pPr>
      <w:r w:rsidRPr="34B827FE">
        <w:rPr>
          <w:rFonts w:eastAsiaTheme="minorEastAsia"/>
          <w:b/>
          <w:bCs/>
          <w:lang w:val="fr-FR"/>
        </w:rPr>
        <w:t>Recommandation</w:t>
      </w:r>
      <w:r w:rsidR="68E5B6ED" w:rsidRPr="34B827FE">
        <w:rPr>
          <w:rFonts w:eastAsiaTheme="minorEastAsia"/>
          <w:b/>
          <w:bCs/>
          <w:lang w:val="fr-FR"/>
        </w:rPr>
        <w:t>s</w:t>
      </w:r>
    </w:p>
    <w:p w14:paraId="2744071D" w14:textId="28B84A4C" w:rsidR="0041654B" w:rsidRPr="000B787D" w:rsidRDefault="78F0896D" w:rsidP="34B827FE">
      <w:pPr>
        <w:jc w:val="both"/>
        <w:rPr>
          <w:rFonts w:eastAsiaTheme="minorEastAsia"/>
          <w:lang w:val="fr-FR"/>
        </w:rPr>
      </w:pPr>
      <w:r w:rsidRPr="34B827FE">
        <w:rPr>
          <w:rFonts w:eastAsiaTheme="minorEastAsia"/>
          <w:lang w:val="fr-FR"/>
        </w:rPr>
        <w:t xml:space="preserve">Les soutiens de ces populations par les organisations humanitaires, les ONG et les agences gouvernementales doivent </w:t>
      </w:r>
      <w:r w:rsidR="439449F9" w:rsidRPr="34B827FE">
        <w:rPr>
          <w:rFonts w:eastAsiaTheme="minorEastAsia"/>
          <w:lang w:val="fr-FR"/>
        </w:rPr>
        <w:t>mettre</w:t>
      </w:r>
      <w:r w:rsidRPr="34B827FE">
        <w:rPr>
          <w:rFonts w:eastAsiaTheme="minorEastAsia"/>
          <w:lang w:val="fr-FR"/>
        </w:rPr>
        <w:t xml:space="preserve"> au premier plan de leurs interventions les composantes de protection sociale à travers les transferts monétaires conditionnelles et inconditionnelles, des distributions de nourriture et des bons d’achats afin de satisfaire les besoins alimentaires de ces population</w:t>
      </w:r>
      <w:r w:rsidR="439449F9" w:rsidRPr="34B827FE">
        <w:rPr>
          <w:rFonts w:eastAsiaTheme="minorEastAsia"/>
          <w:lang w:val="fr-FR"/>
        </w:rPr>
        <w:t>s</w:t>
      </w:r>
      <w:r w:rsidRPr="34B827FE">
        <w:rPr>
          <w:rFonts w:eastAsiaTheme="minorEastAsia"/>
          <w:lang w:val="fr-FR"/>
        </w:rPr>
        <w:t xml:space="preserve">. Il convient d’accompagner </w:t>
      </w:r>
      <w:r w:rsidR="439449F9" w:rsidRPr="34B827FE">
        <w:rPr>
          <w:rFonts w:eastAsiaTheme="minorEastAsia"/>
          <w:lang w:val="fr-FR"/>
        </w:rPr>
        <w:t>c</w:t>
      </w:r>
      <w:r w:rsidRPr="34B827FE">
        <w:rPr>
          <w:rFonts w:eastAsiaTheme="minorEastAsia"/>
          <w:lang w:val="fr-FR"/>
        </w:rPr>
        <w:t xml:space="preserve">es actions </w:t>
      </w:r>
      <w:r w:rsidR="65F13F47" w:rsidRPr="34B827FE">
        <w:rPr>
          <w:rFonts w:eastAsiaTheme="minorEastAsia"/>
          <w:lang w:val="fr-FR"/>
        </w:rPr>
        <w:t>immédiats</w:t>
      </w:r>
      <w:r w:rsidRPr="34B827FE">
        <w:rPr>
          <w:rFonts w:eastAsiaTheme="minorEastAsia"/>
          <w:lang w:val="fr-FR"/>
        </w:rPr>
        <w:t xml:space="preserve"> d</w:t>
      </w:r>
      <w:r w:rsidR="439449F9" w:rsidRPr="34B827FE">
        <w:rPr>
          <w:rFonts w:eastAsiaTheme="minorEastAsia"/>
          <w:lang w:val="fr-FR"/>
        </w:rPr>
        <w:t>’</w:t>
      </w:r>
      <w:r w:rsidRPr="34B827FE">
        <w:rPr>
          <w:rFonts w:eastAsiaTheme="minorEastAsia"/>
          <w:lang w:val="fr-FR"/>
        </w:rPr>
        <w:t xml:space="preserve">investissements dans le secteur agricole en promouvant la disponibilité des </w:t>
      </w:r>
      <w:r w:rsidR="439449F9" w:rsidRPr="34B827FE">
        <w:rPr>
          <w:rFonts w:eastAsiaTheme="minorEastAsia"/>
          <w:lang w:val="fr-FR"/>
        </w:rPr>
        <w:t>semences</w:t>
      </w:r>
      <w:r w:rsidRPr="34B827FE">
        <w:rPr>
          <w:rFonts w:eastAsiaTheme="minorEastAsia"/>
          <w:lang w:val="fr-FR"/>
        </w:rPr>
        <w:t xml:space="preserve"> améliorées des cultures vivrières (Sorgho, mil, </w:t>
      </w:r>
      <w:r w:rsidR="670DA0C6" w:rsidRPr="34B827FE">
        <w:rPr>
          <w:rFonts w:eastAsiaTheme="minorEastAsia"/>
          <w:lang w:val="fr-FR"/>
        </w:rPr>
        <w:t>et niébé</w:t>
      </w:r>
      <w:r w:rsidRPr="34B827FE">
        <w:rPr>
          <w:rFonts w:eastAsiaTheme="minorEastAsia"/>
          <w:lang w:val="fr-FR"/>
        </w:rPr>
        <w:t xml:space="preserve">), des formations sur l’adoption des meilleures pratiques agricoles et des </w:t>
      </w:r>
      <w:r w:rsidR="439449F9" w:rsidRPr="34B827FE">
        <w:rPr>
          <w:rFonts w:eastAsiaTheme="minorEastAsia"/>
          <w:lang w:val="fr-FR"/>
        </w:rPr>
        <w:t>stratégies</w:t>
      </w:r>
      <w:r w:rsidRPr="34B827FE">
        <w:rPr>
          <w:rFonts w:eastAsiaTheme="minorEastAsia"/>
          <w:lang w:val="fr-FR"/>
        </w:rPr>
        <w:t xml:space="preserve"> agricoles d’adaptations aux effets des changements climatiques pour assurer une sécurité alimentaire et une disponibilité </w:t>
      </w:r>
      <w:r w:rsidR="5BAB2A50" w:rsidRPr="34B827FE">
        <w:rPr>
          <w:rFonts w:eastAsiaTheme="minorEastAsia"/>
          <w:lang w:val="fr-FR"/>
        </w:rPr>
        <w:t>alimentaire</w:t>
      </w:r>
      <w:r w:rsidRPr="34B827FE">
        <w:rPr>
          <w:rFonts w:eastAsiaTheme="minorEastAsia"/>
          <w:lang w:val="fr-FR"/>
        </w:rPr>
        <w:t xml:space="preserve"> durables. Des partenariats et des interventions conjointes avec d’autres institutions spécialisées dans l’assistance humanitaire sont </w:t>
      </w:r>
      <w:r w:rsidR="439449F9" w:rsidRPr="34B827FE">
        <w:rPr>
          <w:rFonts w:eastAsiaTheme="minorEastAsia"/>
          <w:lang w:val="fr-FR"/>
        </w:rPr>
        <w:t>nécessaires</w:t>
      </w:r>
      <w:r w:rsidRPr="34B827FE">
        <w:rPr>
          <w:rFonts w:eastAsiaTheme="minorEastAsia"/>
          <w:lang w:val="fr-FR"/>
        </w:rPr>
        <w:t xml:space="preserve"> pour apporter des solutions aux causes profondes de l’insécurité alimentaire dans ces </w:t>
      </w:r>
      <w:r w:rsidR="439449F9" w:rsidRPr="34B827FE">
        <w:rPr>
          <w:rFonts w:eastAsiaTheme="minorEastAsia"/>
          <w:lang w:val="fr-FR"/>
        </w:rPr>
        <w:t>régions</w:t>
      </w:r>
      <w:r w:rsidRPr="34B827FE">
        <w:rPr>
          <w:rFonts w:eastAsiaTheme="minorEastAsia"/>
          <w:lang w:val="fr-FR"/>
        </w:rPr>
        <w:t>.</w:t>
      </w:r>
    </w:p>
    <w:p w14:paraId="135A9310" w14:textId="5D16150F" w:rsidR="00920BA5" w:rsidRPr="007559BD" w:rsidRDefault="4CA9A8EF" w:rsidP="34B827FE">
      <w:pPr>
        <w:spacing w:beforeAutospacing="1" w:afterAutospacing="1" w:line="240" w:lineRule="auto"/>
        <w:jc w:val="both"/>
        <w:rPr>
          <w:rFonts w:eastAsiaTheme="minorEastAsia"/>
          <w:color w:val="2E74B5" w:themeColor="accent1" w:themeShade="BF"/>
          <w:sz w:val="32"/>
          <w:szCs w:val="32"/>
          <w:lang w:val="fr-FR"/>
        </w:rPr>
      </w:pPr>
      <w:r w:rsidRPr="34B827FE">
        <w:rPr>
          <w:rFonts w:eastAsiaTheme="minorEastAsia"/>
          <w:color w:val="2E74B5" w:themeColor="accent1" w:themeShade="BF"/>
          <w:sz w:val="32"/>
          <w:szCs w:val="32"/>
          <w:lang w:val="fr-FR"/>
        </w:rPr>
        <w:t xml:space="preserve">Messages clés - </w:t>
      </w:r>
      <w:r w:rsidR="00920BA5" w:rsidRPr="34B827FE">
        <w:rPr>
          <w:rFonts w:eastAsiaTheme="minorEastAsia"/>
          <w:color w:val="2E74B5" w:themeColor="accent1" w:themeShade="BF"/>
          <w:sz w:val="32"/>
          <w:szCs w:val="32"/>
          <w:lang w:val="fr-FR"/>
        </w:rPr>
        <w:t xml:space="preserve">Résilience </w:t>
      </w:r>
    </w:p>
    <w:p w14:paraId="537CDE66" w14:textId="0447AA2A" w:rsidR="00031BB4" w:rsidRPr="000B787D" w:rsidRDefault="78F0896D" w:rsidP="34B827FE">
      <w:pPr>
        <w:jc w:val="both"/>
        <w:rPr>
          <w:rFonts w:eastAsiaTheme="minorEastAsia"/>
          <w:lang w:val="fr-FR"/>
        </w:rPr>
      </w:pPr>
      <w:r w:rsidRPr="34B827FE">
        <w:rPr>
          <w:rFonts w:eastAsiaTheme="minorEastAsia"/>
          <w:lang w:val="fr-FR"/>
        </w:rPr>
        <w:t>L</w:t>
      </w:r>
      <w:r w:rsidR="04817E6F" w:rsidRPr="34B827FE">
        <w:rPr>
          <w:rFonts w:eastAsiaTheme="minorEastAsia"/>
          <w:lang w:val="fr-FR"/>
        </w:rPr>
        <w:t>e niveau</w:t>
      </w:r>
      <w:r w:rsidR="79A945CD" w:rsidRPr="34B827FE">
        <w:rPr>
          <w:rFonts w:eastAsiaTheme="minorEastAsia"/>
          <w:lang w:val="fr-FR"/>
        </w:rPr>
        <w:t xml:space="preserve"> </w:t>
      </w:r>
      <w:r w:rsidR="04817E6F" w:rsidRPr="34B827FE">
        <w:rPr>
          <w:rFonts w:eastAsiaTheme="minorEastAsia"/>
          <w:lang w:val="fr-FR"/>
        </w:rPr>
        <w:t>de résilience des</w:t>
      </w:r>
      <w:r w:rsidR="0041654B" w:rsidRPr="34B827FE">
        <w:rPr>
          <w:rFonts w:eastAsiaTheme="minorEastAsia"/>
          <w:lang w:val="fr-FR"/>
        </w:rPr>
        <w:t xml:space="preserve"> </w:t>
      </w:r>
      <w:r w:rsidR="02D88B72" w:rsidRPr="34B827FE">
        <w:rPr>
          <w:rFonts w:eastAsiaTheme="minorEastAsia"/>
          <w:lang w:val="fr-FR"/>
        </w:rPr>
        <w:t>ménages</w:t>
      </w:r>
      <w:r w:rsidR="5BA0BE1E" w:rsidRPr="34B827FE">
        <w:rPr>
          <w:rFonts w:eastAsiaTheme="minorEastAsia"/>
          <w:lang w:val="fr-FR"/>
        </w:rPr>
        <w:t xml:space="preserve"> à l’insécurité alimentaire </w:t>
      </w:r>
      <w:r w:rsidR="3067D7B8" w:rsidRPr="34B827FE">
        <w:rPr>
          <w:rFonts w:eastAsiaTheme="minorEastAsia"/>
          <w:lang w:val="fr-FR"/>
        </w:rPr>
        <w:t>est</w:t>
      </w:r>
      <w:r w:rsidR="5BDC7AA9" w:rsidRPr="34B827FE">
        <w:rPr>
          <w:rFonts w:eastAsiaTheme="minorEastAsia"/>
          <w:lang w:val="fr-FR"/>
        </w:rPr>
        <w:t xml:space="preserve"> plus faible </w:t>
      </w:r>
      <w:r w:rsidR="5F7F825A" w:rsidRPr="34B827FE">
        <w:rPr>
          <w:rFonts w:eastAsiaTheme="minorEastAsia"/>
          <w:lang w:val="fr-FR"/>
        </w:rPr>
        <w:t xml:space="preserve">dans </w:t>
      </w:r>
      <w:r w:rsidR="0041654B" w:rsidRPr="34B827FE">
        <w:rPr>
          <w:rFonts w:eastAsiaTheme="minorEastAsia"/>
          <w:lang w:val="fr-FR"/>
        </w:rPr>
        <w:t>la région</w:t>
      </w:r>
      <w:r w:rsidR="5F7F825A" w:rsidRPr="34B827FE">
        <w:rPr>
          <w:rFonts w:eastAsiaTheme="minorEastAsia"/>
          <w:lang w:val="fr-FR"/>
        </w:rPr>
        <w:t xml:space="preserve"> de</w:t>
      </w:r>
      <w:r w:rsidR="5BDC7AA9" w:rsidRPr="34B827FE">
        <w:rPr>
          <w:rFonts w:eastAsiaTheme="minorEastAsia"/>
          <w:lang w:val="fr-FR"/>
        </w:rPr>
        <w:t xml:space="preserve"> </w:t>
      </w:r>
      <w:proofErr w:type="spellStart"/>
      <w:r w:rsidR="5BDC7AA9" w:rsidRPr="34B827FE">
        <w:rPr>
          <w:rFonts w:eastAsiaTheme="minorEastAsia"/>
          <w:lang w:val="fr-FR"/>
        </w:rPr>
        <w:t>Tillabéri</w:t>
      </w:r>
      <w:proofErr w:type="spellEnd"/>
      <w:r w:rsidR="5BDC7AA9" w:rsidRPr="34B827FE">
        <w:rPr>
          <w:rFonts w:eastAsiaTheme="minorEastAsia"/>
          <w:lang w:val="fr-FR"/>
        </w:rPr>
        <w:t xml:space="preserve"> qu’à Tahoua</w:t>
      </w:r>
      <w:r w:rsidR="7B454EB2" w:rsidRPr="34B827FE">
        <w:rPr>
          <w:rFonts w:eastAsiaTheme="minorEastAsia"/>
          <w:lang w:val="fr-FR"/>
        </w:rPr>
        <w:t xml:space="preserve">. </w:t>
      </w:r>
      <w:r w:rsidR="6AC4B22A" w:rsidRPr="34B827FE">
        <w:rPr>
          <w:rFonts w:eastAsiaTheme="minorEastAsia"/>
          <w:lang w:val="fr-FR"/>
        </w:rPr>
        <w:t xml:space="preserve">Les ménages </w:t>
      </w:r>
      <w:r w:rsidR="4E87C2C3" w:rsidRPr="34B827FE">
        <w:rPr>
          <w:rFonts w:eastAsiaTheme="minorEastAsia"/>
          <w:lang w:val="fr-FR"/>
        </w:rPr>
        <w:t>cultivateurs</w:t>
      </w:r>
      <w:r w:rsidR="6AC4B22A" w:rsidRPr="34B827FE">
        <w:rPr>
          <w:rFonts w:eastAsiaTheme="minorEastAsia"/>
          <w:lang w:val="fr-FR"/>
        </w:rPr>
        <w:t xml:space="preserve">, agropasteurs, et </w:t>
      </w:r>
      <w:r w:rsidR="1B6805D5" w:rsidRPr="34B827FE">
        <w:rPr>
          <w:rFonts w:eastAsiaTheme="minorEastAsia"/>
          <w:lang w:val="fr-FR"/>
        </w:rPr>
        <w:t>dépendants</w:t>
      </w:r>
      <w:r w:rsidR="6AC4B22A" w:rsidRPr="34B827FE">
        <w:rPr>
          <w:rFonts w:eastAsiaTheme="minorEastAsia"/>
          <w:lang w:val="fr-FR"/>
        </w:rPr>
        <w:t xml:space="preserve"> des </w:t>
      </w:r>
      <w:r w:rsidR="2CEAC520" w:rsidRPr="34B827FE">
        <w:rPr>
          <w:rFonts w:eastAsiaTheme="minorEastAsia"/>
          <w:lang w:val="fr-FR"/>
        </w:rPr>
        <w:t>transferts</w:t>
      </w:r>
      <w:r w:rsidR="6AC4B22A" w:rsidRPr="34B827FE">
        <w:rPr>
          <w:rFonts w:eastAsiaTheme="minorEastAsia"/>
          <w:lang w:val="fr-FR"/>
        </w:rPr>
        <w:t xml:space="preserve"> et d’assistance humanitaire sont les moins résilients tandis que les ménages salariés et </w:t>
      </w:r>
      <w:r w:rsidR="0CC0C543" w:rsidRPr="34B827FE">
        <w:rPr>
          <w:rFonts w:eastAsiaTheme="minorEastAsia"/>
          <w:lang w:val="fr-FR"/>
        </w:rPr>
        <w:t>pastoraux</w:t>
      </w:r>
      <w:r w:rsidR="6AC4B22A" w:rsidRPr="34B827FE">
        <w:rPr>
          <w:rFonts w:eastAsiaTheme="minorEastAsia"/>
          <w:lang w:val="fr-FR"/>
        </w:rPr>
        <w:t xml:space="preserve"> disposent d’une capacité de </w:t>
      </w:r>
      <w:r w:rsidR="29CD3601" w:rsidRPr="34B827FE">
        <w:rPr>
          <w:rFonts w:eastAsiaTheme="minorEastAsia"/>
          <w:lang w:val="fr-FR"/>
        </w:rPr>
        <w:t>résilience</w:t>
      </w:r>
      <w:r w:rsidR="6AC4B22A" w:rsidRPr="34B827FE">
        <w:rPr>
          <w:rFonts w:eastAsiaTheme="minorEastAsia"/>
          <w:lang w:val="fr-FR"/>
        </w:rPr>
        <w:t xml:space="preserve"> plus élevée. </w:t>
      </w:r>
      <w:r w:rsidR="008F4B3C" w:rsidRPr="34B827FE">
        <w:rPr>
          <w:rFonts w:eastAsiaTheme="minorEastAsia"/>
          <w:lang w:val="fr-FR"/>
        </w:rPr>
        <w:t>Outre le</w:t>
      </w:r>
      <w:r w:rsidR="00EA6230" w:rsidRPr="34B827FE">
        <w:rPr>
          <w:rFonts w:eastAsiaTheme="minorEastAsia"/>
          <w:lang w:val="fr-FR"/>
        </w:rPr>
        <w:t xml:space="preserve"> niveau d’insécurité particulièrement élevé</w:t>
      </w:r>
      <w:r w:rsidR="00571336" w:rsidRPr="34B827FE">
        <w:rPr>
          <w:rFonts w:eastAsiaTheme="minorEastAsia"/>
          <w:lang w:val="fr-FR"/>
        </w:rPr>
        <w:t>e</w:t>
      </w:r>
      <w:r w:rsidR="00EA6230" w:rsidRPr="34B827FE">
        <w:rPr>
          <w:rFonts w:eastAsiaTheme="minorEastAsia"/>
          <w:lang w:val="fr-FR"/>
        </w:rPr>
        <w:t xml:space="preserve"> </w:t>
      </w:r>
      <w:r w:rsidR="00BD3721" w:rsidRPr="34B827FE">
        <w:rPr>
          <w:rFonts w:eastAsiaTheme="minorEastAsia"/>
          <w:lang w:val="fr-FR"/>
        </w:rPr>
        <w:t>dans la</w:t>
      </w:r>
      <w:r w:rsidR="00EA6230" w:rsidRPr="34B827FE">
        <w:rPr>
          <w:rFonts w:eastAsiaTheme="minorEastAsia"/>
          <w:lang w:val="fr-FR"/>
        </w:rPr>
        <w:t xml:space="preserve"> région </w:t>
      </w:r>
      <w:r w:rsidR="00BD3721" w:rsidRPr="34B827FE">
        <w:rPr>
          <w:rFonts w:eastAsiaTheme="minorEastAsia"/>
          <w:lang w:val="fr-FR"/>
        </w:rPr>
        <w:t xml:space="preserve">de </w:t>
      </w:r>
      <w:proofErr w:type="spellStart"/>
      <w:r w:rsidR="00BD3721" w:rsidRPr="34B827FE">
        <w:rPr>
          <w:rFonts w:eastAsiaTheme="minorEastAsia"/>
          <w:lang w:val="fr-FR"/>
        </w:rPr>
        <w:t>Tilla</w:t>
      </w:r>
      <w:r w:rsidR="00AB61CC" w:rsidRPr="34B827FE">
        <w:rPr>
          <w:rFonts w:eastAsiaTheme="minorEastAsia"/>
          <w:lang w:val="fr-FR"/>
        </w:rPr>
        <w:t>béri</w:t>
      </w:r>
      <w:proofErr w:type="spellEnd"/>
      <w:r w:rsidR="00AB61CC" w:rsidRPr="34B827FE">
        <w:rPr>
          <w:rFonts w:eastAsiaTheme="minorEastAsia"/>
          <w:lang w:val="fr-FR"/>
        </w:rPr>
        <w:t xml:space="preserve"> </w:t>
      </w:r>
      <w:r w:rsidR="00EA6230" w:rsidRPr="34B827FE">
        <w:rPr>
          <w:rFonts w:eastAsiaTheme="minorEastAsia"/>
          <w:lang w:val="fr-FR"/>
        </w:rPr>
        <w:t xml:space="preserve">à la fois frontalière avec le Mali et le Burkina Faso, </w:t>
      </w:r>
      <w:r w:rsidR="008F4B3C" w:rsidRPr="34B827FE">
        <w:rPr>
          <w:rFonts w:eastAsiaTheme="minorEastAsia"/>
          <w:lang w:val="fr-FR"/>
        </w:rPr>
        <w:t xml:space="preserve">l’importance des groupes vulnérables précédents expliquent la situation </w:t>
      </w:r>
      <w:r w:rsidR="00AB61CC" w:rsidRPr="34B827FE">
        <w:rPr>
          <w:rFonts w:eastAsiaTheme="minorEastAsia"/>
          <w:lang w:val="fr-FR"/>
        </w:rPr>
        <w:t xml:space="preserve">moins résiliente </w:t>
      </w:r>
      <w:r w:rsidR="008F4B3C" w:rsidRPr="34B827FE">
        <w:rPr>
          <w:rFonts w:eastAsiaTheme="minorEastAsia"/>
          <w:lang w:val="fr-FR"/>
        </w:rPr>
        <w:t xml:space="preserve">de </w:t>
      </w:r>
      <w:r w:rsidR="00AB61CC" w:rsidRPr="34B827FE">
        <w:rPr>
          <w:rFonts w:eastAsiaTheme="minorEastAsia"/>
          <w:lang w:val="fr-FR"/>
        </w:rPr>
        <w:t>cette région</w:t>
      </w:r>
      <w:r w:rsidR="008F4B3C" w:rsidRPr="34B827FE">
        <w:rPr>
          <w:rFonts w:eastAsiaTheme="minorEastAsia"/>
          <w:lang w:val="fr-FR"/>
        </w:rPr>
        <w:t xml:space="preserve">. </w:t>
      </w:r>
      <w:r w:rsidR="7B454EB2" w:rsidRPr="34B827FE">
        <w:rPr>
          <w:rFonts w:eastAsiaTheme="minorEastAsia"/>
          <w:lang w:val="fr-FR"/>
        </w:rPr>
        <w:t xml:space="preserve">Les meilleures opportunités pour </w:t>
      </w:r>
      <w:r w:rsidR="008F4B3C" w:rsidRPr="34B827FE">
        <w:rPr>
          <w:rFonts w:eastAsiaTheme="minorEastAsia"/>
          <w:lang w:val="fr-FR"/>
        </w:rPr>
        <w:t>l’</w:t>
      </w:r>
      <w:r w:rsidR="30F33FB8" w:rsidRPr="34B827FE">
        <w:rPr>
          <w:rFonts w:eastAsiaTheme="minorEastAsia"/>
          <w:lang w:val="fr-FR"/>
        </w:rPr>
        <w:t xml:space="preserve">affermissement </w:t>
      </w:r>
      <w:r w:rsidR="008F4B3C" w:rsidRPr="34B827FE">
        <w:rPr>
          <w:rFonts w:eastAsiaTheme="minorEastAsia"/>
          <w:lang w:val="fr-FR"/>
        </w:rPr>
        <w:t xml:space="preserve">de la résilience </w:t>
      </w:r>
      <w:r w:rsidR="7B454EB2" w:rsidRPr="34B827FE">
        <w:rPr>
          <w:rFonts w:eastAsiaTheme="minorEastAsia"/>
          <w:lang w:val="fr-FR"/>
        </w:rPr>
        <w:t>se situent</w:t>
      </w:r>
      <w:r w:rsidR="04817E6F" w:rsidRPr="34B827FE">
        <w:rPr>
          <w:rFonts w:eastAsiaTheme="minorEastAsia"/>
          <w:lang w:val="fr-FR"/>
        </w:rPr>
        <w:t xml:space="preserve"> en premier lieu </w:t>
      </w:r>
      <w:r w:rsidR="5BDC7AA9" w:rsidRPr="34B827FE">
        <w:rPr>
          <w:rFonts w:eastAsiaTheme="minorEastAsia"/>
          <w:lang w:val="fr-FR"/>
        </w:rPr>
        <w:t>dans</w:t>
      </w:r>
      <w:r w:rsidR="7B454EB2" w:rsidRPr="34B827FE">
        <w:rPr>
          <w:rFonts w:eastAsiaTheme="minorEastAsia"/>
          <w:lang w:val="fr-FR"/>
        </w:rPr>
        <w:t xml:space="preserve"> de</w:t>
      </w:r>
      <w:r w:rsidR="04817E6F" w:rsidRPr="34B827FE">
        <w:rPr>
          <w:rFonts w:eastAsiaTheme="minorEastAsia"/>
          <w:lang w:val="fr-FR"/>
        </w:rPr>
        <w:t xml:space="preserve"> meilleurs se</w:t>
      </w:r>
      <w:r w:rsidR="0041654B" w:rsidRPr="34B827FE">
        <w:rPr>
          <w:rFonts w:eastAsiaTheme="minorEastAsia"/>
          <w:lang w:val="fr-FR"/>
        </w:rPr>
        <w:t>rvices sociaux de base</w:t>
      </w:r>
      <w:r w:rsidR="04817E6F" w:rsidRPr="34B827FE">
        <w:rPr>
          <w:rFonts w:eastAsiaTheme="minorEastAsia"/>
          <w:lang w:val="fr-FR"/>
        </w:rPr>
        <w:t xml:space="preserve">, notamment ceux liés à l’accès </w:t>
      </w:r>
      <w:r w:rsidR="7B454EB2" w:rsidRPr="34B827FE">
        <w:rPr>
          <w:rFonts w:eastAsiaTheme="minorEastAsia"/>
          <w:lang w:val="fr-FR"/>
        </w:rPr>
        <w:t xml:space="preserve">à l’eau </w:t>
      </w:r>
      <w:r w:rsidR="04817E6F" w:rsidRPr="34B827FE">
        <w:rPr>
          <w:rFonts w:eastAsiaTheme="minorEastAsia"/>
          <w:lang w:val="fr-FR"/>
        </w:rPr>
        <w:t>potable, à l’hygiène ainsi qu’à l’assainissement</w:t>
      </w:r>
      <w:r w:rsidR="06E072D3" w:rsidRPr="34B827FE">
        <w:rPr>
          <w:rFonts w:eastAsiaTheme="minorEastAsia"/>
          <w:lang w:val="fr-FR"/>
        </w:rPr>
        <w:t>, étant donné l’importance de l’eau pour les conditions et les moyens d’existence dans ces zones semi-arides</w:t>
      </w:r>
      <w:r w:rsidR="04817E6F" w:rsidRPr="34B827FE">
        <w:rPr>
          <w:rFonts w:eastAsiaTheme="minorEastAsia"/>
          <w:lang w:val="fr-FR"/>
        </w:rPr>
        <w:t xml:space="preserve">. </w:t>
      </w:r>
      <w:r w:rsidR="33574E9B" w:rsidRPr="34B827FE">
        <w:rPr>
          <w:rFonts w:eastAsiaTheme="minorEastAsia"/>
          <w:lang w:val="fr-FR"/>
        </w:rPr>
        <w:t>Par ailleurs, l</w:t>
      </w:r>
      <w:r w:rsidR="7B454EB2" w:rsidRPr="34B827FE">
        <w:rPr>
          <w:rFonts w:eastAsiaTheme="minorEastAsia"/>
          <w:lang w:val="fr-FR"/>
        </w:rPr>
        <w:t>a promotion du capital social, surtout les réseaux collectifs et individuels, ainsi que l’accès aux crédit</w:t>
      </w:r>
      <w:r w:rsidR="7D012696" w:rsidRPr="34B827FE">
        <w:rPr>
          <w:rFonts w:eastAsiaTheme="minorEastAsia"/>
          <w:lang w:val="fr-FR"/>
        </w:rPr>
        <w:t>s</w:t>
      </w:r>
      <w:r w:rsidR="7B454EB2" w:rsidRPr="34B827FE">
        <w:rPr>
          <w:rFonts w:eastAsiaTheme="minorEastAsia"/>
          <w:lang w:val="fr-FR"/>
        </w:rPr>
        <w:t xml:space="preserve"> constituent également un </w:t>
      </w:r>
      <w:r w:rsidR="00CD7890" w:rsidRPr="34B827FE">
        <w:rPr>
          <w:rFonts w:eastAsiaTheme="minorEastAsia"/>
          <w:lang w:val="fr-FR"/>
        </w:rPr>
        <w:t>tremplin appréciable vers la</w:t>
      </w:r>
      <w:r w:rsidR="7B454EB2" w:rsidRPr="34B827FE">
        <w:rPr>
          <w:rFonts w:eastAsiaTheme="minorEastAsia"/>
          <w:lang w:val="fr-FR"/>
        </w:rPr>
        <w:t xml:space="preserve"> résilience des ménages.</w:t>
      </w:r>
      <w:r w:rsidR="06E072D3" w:rsidRPr="34B827FE">
        <w:rPr>
          <w:rFonts w:eastAsiaTheme="minorEastAsia"/>
          <w:lang w:val="fr-FR"/>
        </w:rPr>
        <w:t xml:space="preserve"> </w:t>
      </w:r>
      <w:r w:rsidR="008F4B3C" w:rsidRPr="34B827FE">
        <w:rPr>
          <w:rFonts w:eastAsiaTheme="minorEastAsia"/>
          <w:lang w:val="fr-FR"/>
        </w:rPr>
        <w:t xml:space="preserve">Les défis résident, </w:t>
      </w:r>
      <w:r w:rsidR="008F4B3C" w:rsidRPr="34B827FE">
        <w:rPr>
          <w:rFonts w:eastAsiaTheme="minorEastAsia"/>
          <w:lang w:val="fr-FR"/>
        </w:rPr>
        <w:lastRenderedPageBreak/>
        <w:t xml:space="preserve">d’une part, dans une meilleure dotation en actifs </w:t>
      </w:r>
      <w:r w:rsidR="00383F20" w:rsidRPr="34B827FE">
        <w:rPr>
          <w:rFonts w:eastAsiaTheme="minorEastAsia"/>
          <w:lang w:val="fr-FR"/>
        </w:rPr>
        <w:t xml:space="preserve">productifs </w:t>
      </w:r>
      <w:r w:rsidR="008F4B3C" w:rsidRPr="34B827FE">
        <w:rPr>
          <w:rFonts w:eastAsiaTheme="minorEastAsia"/>
          <w:lang w:val="fr-FR"/>
        </w:rPr>
        <w:t>des ménages à travers</w:t>
      </w:r>
      <w:r w:rsidR="33574E9B" w:rsidRPr="34B827FE">
        <w:rPr>
          <w:rFonts w:eastAsiaTheme="minorEastAsia"/>
          <w:lang w:val="fr-FR"/>
        </w:rPr>
        <w:t xml:space="preserve"> l</w:t>
      </w:r>
      <w:r w:rsidR="09289FDA" w:rsidRPr="34B827FE">
        <w:rPr>
          <w:rFonts w:eastAsiaTheme="minorEastAsia"/>
          <w:lang w:val="fr-FR"/>
        </w:rPr>
        <w:t xml:space="preserve">’utilisation d’intrants et la possession d’actifs agricoles, favorisant de fait la production agro-pastorale, </w:t>
      </w:r>
      <w:r w:rsidR="008F4B3C" w:rsidRPr="34B827FE">
        <w:rPr>
          <w:rFonts w:eastAsiaTheme="minorEastAsia"/>
          <w:lang w:val="fr-FR"/>
        </w:rPr>
        <w:t>et contribuent</w:t>
      </w:r>
      <w:r w:rsidR="2FF8CB83" w:rsidRPr="34B827FE">
        <w:rPr>
          <w:rFonts w:eastAsiaTheme="minorEastAsia"/>
          <w:lang w:val="fr-FR"/>
        </w:rPr>
        <w:t xml:space="preserve"> à l</w:t>
      </w:r>
      <w:r w:rsidR="12A88157" w:rsidRPr="34B827FE">
        <w:rPr>
          <w:rFonts w:eastAsiaTheme="minorEastAsia"/>
          <w:lang w:val="fr-FR"/>
        </w:rPr>
        <w:t>’amélioration rapide de la</w:t>
      </w:r>
      <w:r w:rsidR="2FF8CB83" w:rsidRPr="34B827FE">
        <w:rPr>
          <w:rFonts w:eastAsiaTheme="minorEastAsia"/>
          <w:lang w:val="fr-FR"/>
        </w:rPr>
        <w:t xml:space="preserve"> résilience des ménages</w:t>
      </w:r>
      <w:r w:rsidR="0D4CF566" w:rsidRPr="34B827FE">
        <w:rPr>
          <w:rFonts w:eastAsiaTheme="minorEastAsia"/>
          <w:lang w:val="fr-FR"/>
        </w:rPr>
        <w:t xml:space="preserve"> dans les deux régions</w:t>
      </w:r>
      <w:r w:rsidR="2FF8CB83" w:rsidRPr="34B827FE">
        <w:rPr>
          <w:rFonts w:eastAsiaTheme="minorEastAsia"/>
          <w:lang w:val="fr-FR"/>
        </w:rPr>
        <w:t xml:space="preserve">. </w:t>
      </w:r>
      <w:r w:rsidR="008F4B3C" w:rsidRPr="34B827FE">
        <w:rPr>
          <w:rFonts w:eastAsiaTheme="minorEastAsia"/>
          <w:lang w:val="fr-FR"/>
        </w:rPr>
        <w:t>D’autre part</w:t>
      </w:r>
      <w:r w:rsidR="2FF8CB83" w:rsidRPr="34B827FE">
        <w:rPr>
          <w:rFonts w:eastAsiaTheme="minorEastAsia"/>
          <w:lang w:val="fr-FR"/>
        </w:rPr>
        <w:t xml:space="preserve">, la capacité d’adaptation des ménages </w:t>
      </w:r>
      <w:r w:rsidR="11ADE3F1" w:rsidRPr="34B827FE">
        <w:rPr>
          <w:rFonts w:eastAsiaTheme="minorEastAsia"/>
          <w:lang w:val="fr-FR"/>
        </w:rPr>
        <w:t xml:space="preserve">reste </w:t>
      </w:r>
      <w:r w:rsidR="29923156" w:rsidRPr="34B827FE">
        <w:rPr>
          <w:rFonts w:eastAsiaTheme="minorEastAsia"/>
          <w:lang w:val="fr-FR"/>
        </w:rPr>
        <w:t xml:space="preserve">ainsi </w:t>
      </w:r>
      <w:r w:rsidR="11ADE3F1" w:rsidRPr="34B827FE">
        <w:rPr>
          <w:rFonts w:eastAsiaTheme="minorEastAsia"/>
          <w:lang w:val="fr-FR"/>
        </w:rPr>
        <w:t>un défi majeur de long term</w:t>
      </w:r>
      <w:r w:rsidR="63B5A5B8" w:rsidRPr="34B827FE">
        <w:rPr>
          <w:rFonts w:eastAsiaTheme="minorEastAsia"/>
          <w:lang w:val="fr-FR"/>
        </w:rPr>
        <w:t>e</w:t>
      </w:r>
      <w:r w:rsidR="2FF8CB83" w:rsidRPr="34B827FE">
        <w:rPr>
          <w:rFonts w:eastAsiaTheme="minorEastAsia"/>
          <w:lang w:val="fr-FR"/>
        </w:rPr>
        <w:t xml:space="preserve">. </w:t>
      </w:r>
    </w:p>
    <w:p w14:paraId="692C2091" w14:textId="1B1CC5F3" w:rsidR="00FB003E" w:rsidRPr="000B787D" w:rsidRDefault="00FB003E" w:rsidP="34B827FE">
      <w:pPr>
        <w:jc w:val="both"/>
        <w:rPr>
          <w:rFonts w:eastAsiaTheme="minorEastAsia"/>
          <w:b/>
          <w:bCs/>
          <w:lang w:val="fr-FR"/>
        </w:rPr>
      </w:pPr>
      <w:r w:rsidRPr="34B827FE">
        <w:rPr>
          <w:rFonts w:eastAsiaTheme="minorEastAsia"/>
          <w:b/>
          <w:bCs/>
          <w:lang w:val="fr-FR"/>
        </w:rPr>
        <w:t>Recommandation</w:t>
      </w:r>
      <w:r w:rsidR="7DF3AF7F" w:rsidRPr="34B827FE">
        <w:rPr>
          <w:rFonts w:eastAsiaTheme="minorEastAsia"/>
          <w:b/>
          <w:bCs/>
          <w:lang w:val="fr-FR"/>
        </w:rPr>
        <w:t>s</w:t>
      </w:r>
      <w:r w:rsidR="00CF0ABE" w:rsidRPr="34B827FE">
        <w:rPr>
          <w:rFonts w:eastAsiaTheme="minorEastAsia"/>
          <w:b/>
          <w:bCs/>
          <w:lang w:val="fr-FR"/>
        </w:rPr>
        <w:t> </w:t>
      </w:r>
    </w:p>
    <w:p w14:paraId="6CEE921A" w14:textId="782E91E2" w:rsidR="00121A3C" w:rsidRPr="00F15ACD" w:rsidRDefault="00576A8B" w:rsidP="34B827FE">
      <w:pPr>
        <w:jc w:val="both"/>
        <w:rPr>
          <w:rFonts w:eastAsiaTheme="minorEastAsia"/>
          <w:lang w:val="fr-FR"/>
        </w:rPr>
      </w:pPr>
      <w:r w:rsidRPr="34B827FE">
        <w:rPr>
          <w:rFonts w:eastAsiaTheme="minorEastAsia"/>
          <w:lang w:val="fr-FR"/>
        </w:rPr>
        <w:t>L</w:t>
      </w:r>
      <w:r w:rsidR="00121A3C" w:rsidRPr="34B827FE">
        <w:rPr>
          <w:rFonts w:eastAsiaTheme="minorEastAsia"/>
          <w:lang w:val="fr-FR"/>
        </w:rPr>
        <w:t>’</w:t>
      </w:r>
      <w:r w:rsidRPr="34B827FE">
        <w:rPr>
          <w:rFonts w:eastAsiaTheme="minorEastAsia"/>
          <w:lang w:val="fr-FR"/>
        </w:rPr>
        <w:t>améliorati</w:t>
      </w:r>
      <w:r w:rsidR="00121A3C" w:rsidRPr="34B827FE">
        <w:rPr>
          <w:rFonts w:eastAsiaTheme="minorEastAsia"/>
          <w:lang w:val="fr-FR"/>
        </w:rPr>
        <w:t xml:space="preserve">on de la résilience des ménages des régions de Tahoua et </w:t>
      </w:r>
      <w:proofErr w:type="spellStart"/>
      <w:r w:rsidR="00121A3C" w:rsidRPr="34B827FE">
        <w:rPr>
          <w:rFonts w:eastAsiaTheme="minorEastAsia"/>
          <w:lang w:val="fr-FR"/>
        </w:rPr>
        <w:t>Tillabéri</w:t>
      </w:r>
      <w:proofErr w:type="spellEnd"/>
      <w:r w:rsidR="00121A3C" w:rsidRPr="34B827FE">
        <w:rPr>
          <w:rFonts w:eastAsiaTheme="minorEastAsia"/>
          <w:lang w:val="fr-FR"/>
        </w:rPr>
        <w:t>, au vu des constats précédents, impliquent premièrement d’établir de</w:t>
      </w:r>
      <w:r w:rsidR="0041654B" w:rsidRPr="34B827FE">
        <w:rPr>
          <w:rFonts w:eastAsiaTheme="minorEastAsia"/>
          <w:lang w:val="fr-FR"/>
        </w:rPr>
        <w:t>s synergies dans les domaines de</w:t>
      </w:r>
      <w:r w:rsidR="00121A3C" w:rsidRPr="34B827FE">
        <w:rPr>
          <w:rFonts w:eastAsiaTheme="minorEastAsia"/>
          <w:lang w:val="fr-FR"/>
        </w:rPr>
        <w:t xml:space="preserve"> </w:t>
      </w:r>
      <w:r w:rsidR="008F4B3C" w:rsidRPr="34B827FE">
        <w:rPr>
          <w:rFonts w:eastAsiaTheme="minorEastAsia"/>
          <w:lang w:val="fr-FR"/>
        </w:rPr>
        <w:t>l’</w:t>
      </w:r>
      <w:r w:rsidR="2CEC0949" w:rsidRPr="34B827FE">
        <w:rPr>
          <w:rFonts w:eastAsiaTheme="minorEastAsia"/>
          <w:lang w:val="fr-FR"/>
        </w:rPr>
        <w:t>Eau, Hygiène et Assainissement (WASH)</w:t>
      </w:r>
      <w:r w:rsidR="00121A3C" w:rsidRPr="34B827FE">
        <w:rPr>
          <w:rFonts w:eastAsiaTheme="minorEastAsia"/>
          <w:lang w:val="fr-FR"/>
        </w:rPr>
        <w:t xml:space="preserve">, de l’éducation ainsi que </w:t>
      </w:r>
      <w:r w:rsidR="000B09B9" w:rsidRPr="34B827FE">
        <w:rPr>
          <w:rFonts w:eastAsiaTheme="minorEastAsia"/>
          <w:lang w:val="fr-FR"/>
        </w:rPr>
        <w:t>des autres services de base</w:t>
      </w:r>
      <w:r w:rsidR="00121A3C" w:rsidRPr="34B827FE">
        <w:rPr>
          <w:rFonts w:eastAsiaTheme="minorEastAsia"/>
          <w:lang w:val="fr-FR"/>
        </w:rPr>
        <w:t xml:space="preserve"> au profit des ménages. </w:t>
      </w:r>
      <w:r w:rsidR="00F15ACD" w:rsidRPr="34B827FE">
        <w:rPr>
          <w:rFonts w:eastAsiaTheme="minorEastAsia"/>
          <w:lang w:val="fr-FR"/>
        </w:rPr>
        <w:t xml:space="preserve"> </w:t>
      </w:r>
      <w:r w:rsidR="00121A3C" w:rsidRPr="34B827FE">
        <w:rPr>
          <w:rFonts w:eastAsiaTheme="minorEastAsia"/>
          <w:lang w:val="fr-FR"/>
        </w:rPr>
        <w:t>Deuxièmement, les intervent</w:t>
      </w:r>
      <w:r w:rsidR="000B09B9" w:rsidRPr="34B827FE">
        <w:rPr>
          <w:rFonts w:eastAsiaTheme="minorEastAsia"/>
          <w:lang w:val="fr-FR"/>
        </w:rPr>
        <w:t xml:space="preserve">ions </w:t>
      </w:r>
      <w:r w:rsidR="00121A3C" w:rsidRPr="34B827FE">
        <w:rPr>
          <w:rFonts w:eastAsiaTheme="minorEastAsia"/>
          <w:lang w:val="fr-FR"/>
        </w:rPr>
        <w:t xml:space="preserve">gagneraient en efficacité en adoptant une approche intégrée </w:t>
      </w:r>
      <w:r w:rsidR="00AF1A31" w:rsidRPr="34B827FE">
        <w:rPr>
          <w:rFonts w:eastAsiaTheme="minorEastAsia"/>
          <w:lang w:val="fr-FR"/>
        </w:rPr>
        <w:t>pren</w:t>
      </w:r>
      <w:r w:rsidR="005953DD" w:rsidRPr="34B827FE">
        <w:rPr>
          <w:rFonts w:eastAsiaTheme="minorEastAsia"/>
          <w:lang w:val="fr-FR"/>
        </w:rPr>
        <w:t>ant en compte différentes</w:t>
      </w:r>
      <w:r w:rsidR="00AF1A31" w:rsidRPr="34B827FE">
        <w:rPr>
          <w:rFonts w:eastAsiaTheme="minorEastAsia"/>
          <w:lang w:val="fr-FR"/>
        </w:rPr>
        <w:t xml:space="preserve"> facettes </w:t>
      </w:r>
      <w:r w:rsidR="005953DD" w:rsidRPr="34B827FE">
        <w:rPr>
          <w:rFonts w:eastAsiaTheme="minorEastAsia"/>
          <w:lang w:val="fr-FR"/>
        </w:rPr>
        <w:t>de la résilience à l’insécurité alimentaire :</w:t>
      </w:r>
      <w:r w:rsidR="4A757961" w:rsidRPr="34B827FE">
        <w:rPr>
          <w:rFonts w:eastAsiaTheme="minorEastAsia"/>
          <w:lang w:val="fr-FR"/>
        </w:rPr>
        <w:t xml:space="preserve"> la</w:t>
      </w:r>
      <w:r w:rsidR="000B09B9" w:rsidRPr="34B827FE">
        <w:rPr>
          <w:rFonts w:eastAsiaTheme="minorEastAsia"/>
          <w:lang w:val="fr-FR"/>
        </w:rPr>
        <w:t xml:space="preserve"> structuration des groupes</w:t>
      </w:r>
      <w:r w:rsidR="0CCC24DE" w:rsidRPr="34B827FE">
        <w:rPr>
          <w:rFonts w:eastAsiaTheme="minorEastAsia"/>
          <w:lang w:val="fr-FR"/>
        </w:rPr>
        <w:t xml:space="preserve"> sociaux</w:t>
      </w:r>
      <w:r w:rsidR="0041654B" w:rsidRPr="34B827FE">
        <w:rPr>
          <w:rFonts w:eastAsiaTheme="minorEastAsia"/>
          <w:lang w:val="fr-FR"/>
        </w:rPr>
        <w:t xml:space="preserve"> et </w:t>
      </w:r>
      <w:r w:rsidR="00A122FF" w:rsidRPr="34B827FE">
        <w:rPr>
          <w:rFonts w:eastAsiaTheme="minorEastAsia"/>
          <w:lang w:val="fr-FR"/>
        </w:rPr>
        <w:t>le</w:t>
      </w:r>
      <w:r w:rsidR="0041654B" w:rsidRPr="34B827FE">
        <w:rPr>
          <w:rFonts w:eastAsiaTheme="minorEastAsia"/>
          <w:lang w:val="fr-FR"/>
        </w:rPr>
        <w:t xml:space="preserve"> réseautage</w:t>
      </w:r>
      <w:r w:rsidR="000B09B9" w:rsidRPr="34B827FE">
        <w:rPr>
          <w:rFonts w:eastAsiaTheme="minorEastAsia"/>
          <w:lang w:val="fr-FR"/>
        </w:rPr>
        <w:t>;</w:t>
      </w:r>
      <w:r w:rsidR="00AF1A31" w:rsidRPr="34B827FE">
        <w:rPr>
          <w:rFonts w:eastAsiaTheme="minorEastAsia"/>
          <w:lang w:val="fr-FR"/>
        </w:rPr>
        <w:t xml:space="preserve"> </w:t>
      </w:r>
      <w:r w:rsidR="000B09B9" w:rsidRPr="34B827FE">
        <w:rPr>
          <w:rFonts w:eastAsiaTheme="minorEastAsia"/>
          <w:lang w:val="fr-FR"/>
        </w:rPr>
        <w:t>l’accès aux crédits et aux transferts ;</w:t>
      </w:r>
      <w:r w:rsidR="00AF1A31" w:rsidRPr="34B827FE">
        <w:rPr>
          <w:rFonts w:eastAsiaTheme="minorEastAsia"/>
          <w:lang w:val="fr-FR"/>
        </w:rPr>
        <w:t xml:space="preserve"> et</w:t>
      </w:r>
      <w:r w:rsidR="00A122FF" w:rsidRPr="34B827FE">
        <w:rPr>
          <w:rFonts w:eastAsiaTheme="minorEastAsia"/>
          <w:lang w:val="fr-FR"/>
        </w:rPr>
        <w:t xml:space="preserve"> les</w:t>
      </w:r>
      <w:r w:rsidR="00AF1A31" w:rsidRPr="34B827FE">
        <w:rPr>
          <w:rFonts w:eastAsiaTheme="minorEastAsia"/>
          <w:lang w:val="fr-FR"/>
        </w:rPr>
        <w:t xml:space="preserve"> techniques</w:t>
      </w:r>
      <w:r w:rsidR="005953DD" w:rsidRPr="34B827FE">
        <w:rPr>
          <w:rFonts w:eastAsiaTheme="minorEastAsia"/>
          <w:lang w:val="fr-FR"/>
        </w:rPr>
        <w:t xml:space="preserve"> de valorisation des chaînes de valeurs à travers de meilleurs rendements</w:t>
      </w:r>
      <w:r w:rsidR="00A122FF" w:rsidRPr="34B827FE">
        <w:rPr>
          <w:rFonts w:eastAsiaTheme="minorEastAsia"/>
          <w:lang w:val="fr-FR"/>
        </w:rPr>
        <w:t xml:space="preserve"> (accès aux intrants et actifs agricoles)</w:t>
      </w:r>
      <w:r w:rsidR="005953DD" w:rsidRPr="34B827FE">
        <w:rPr>
          <w:rFonts w:eastAsiaTheme="minorEastAsia"/>
          <w:lang w:val="fr-FR"/>
        </w:rPr>
        <w:t xml:space="preserve"> et une meilleure plus-value</w:t>
      </w:r>
      <w:r w:rsidR="00A122FF" w:rsidRPr="34B827FE">
        <w:rPr>
          <w:rFonts w:eastAsiaTheme="minorEastAsia"/>
          <w:lang w:val="fr-FR"/>
        </w:rPr>
        <w:t xml:space="preserve"> (production vivrière et de rentes et circuit de commercialisation)</w:t>
      </w:r>
      <w:r w:rsidR="00AF1A31" w:rsidRPr="34B827FE">
        <w:rPr>
          <w:rFonts w:eastAsiaTheme="minorEastAsia"/>
          <w:lang w:val="fr-FR"/>
        </w:rPr>
        <w:t>.</w:t>
      </w:r>
      <w:r w:rsidR="0CCCBA48" w:rsidRPr="34B827FE">
        <w:rPr>
          <w:rFonts w:eastAsiaTheme="minorEastAsia"/>
          <w:lang w:val="fr-FR"/>
        </w:rPr>
        <w:t xml:space="preserve"> </w:t>
      </w:r>
      <w:r w:rsidR="10BC6284" w:rsidRPr="34B827FE">
        <w:rPr>
          <w:rFonts w:eastAsiaTheme="minorEastAsia"/>
          <w:lang w:val="fr-FR"/>
        </w:rPr>
        <w:t xml:space="preserve">Ces approches </w:t>
      </w:r>
      <w:r w:rsidR="3142D623" w:rsidRPr="34B827FE">
        <w:rPr>
          <w:rFonts w:eastAsiaTheme="minorEastAsia"/>
          <w:lang w:val="fr-FR"/>
        </w:rPr>
        <w:t xml:space="preserve">intégrées </w:t>
      </w:r>
      <w:r w:rsidR="10BC6284" w:rsidRPr="34B827FE">
        <w:rPr>
          <w:rFonts w:eastAsiaTheme="minorEastAsia"/>
          <w:lang w:val="fr-FR"/>
        </w:rPr>
        <w:t xml:space="preserve">devraient </w:t>
      </w:r>
      <w:r w:rsidR="5F909B5F" w:rsidRPr="34B827FE">
        <w:rPr>
          <w:rFonts w:eastAsiaTheme="minorEastAsia"/>
          <w:lang w:val="fr-FR"/>
        </w:rPr>
        <w:t xml:space="preserve">créer des synergies entre </w:t>
      </w:r>
      <w:r w:rsidR="2B0814F4" w:rsidRPr="34B827FE">
        <w:rPr>
          <w:rFonts w:eastAsiaTheme="minorEastAsia"/>
          <w:lang w:val="fr-FR"/>
        </w:rPr>
        <w:t>le renforcement</w:t>
      </w:r>
      <w:r w:rsidR="30736063" w:rsidRPr="34B827FE">
        <w:rPr>
          <w:rFonts w:eastAsiaTheme="minorEastAsia"/>
          <w:lang w:val="fr-FR"/>
        </w:rPr>
        <w:t xml:space="preserve"> des capacités </w:t>
      </w:r>
      <w:r w:rsidR="5F909B5F" w:rsidRPr="34B827FE">
        <w:rPr>
          <w:rFonts w:eastAsiaTheme="minorEastAsia"/>
          <w:lang w:val="fr-FR"/>
        </w:rPr>
        <w:t>techniques</w:t>
      </w:r>
      <w:r w:rsidR="53F44B54" w:rsidRPr="34B827FE">
        <w:rPr>
          <w:rFonts w:eastAsiaTheme="minorEastAsia"/>
          <w:lang w:val="fr-FR"/>
        </w:rPr>
        <w:t>, les compétences pratiques t</w:t>
      </w:r>
      <w:r w:rsidR="00A122FF" w:rsidRPr="34B827FE">
        <w:rPr>
          <w:rFonts w:eastAsiaTheme="minorEastAsia"/>
          <w:lang w:val="fr-FR"/>
        </w:rPr>
        <w:t>elles</w:t>
      </w:r>
      <w:r w:rsidR="53F44B54" w:rsidRPr="34B827FE">
        <w:rPr>
          <w:rFonts w:eastAsiaTheme="minorEastAsia"/>
          <w:lang w:val="fr-FR"/>
        </w:rPr>
        <w:t xml:space="preserve"> que l’alphabétisation</w:t>
      </w:r>
      <w:r w:rsidR="00A122FF" w:rsidRPr="34B827FE">
        <w:rPr>
          <w:rFonts w:eastAsiaTheme="minorEastAsia"/>
          <w:lang w:val="fr-FR"/>
        </w:rPr>
        <w:t>,</w:t>
      </w:r>
      <w:r w:rsidR="1D2363D5" w:rsidRPr="34B827FE">
        <w:rPr>
          <w:rFonts w:eastAsiaTheme="minorEastAsia"/>
          <w:lang w:val="fr-FR"/>
        </w:rPr>
        <w:t xml:space="preserve"> </w:t>
      </w:r>
      <w:r w:rsidR="00CD7890" w:rsidRPr="34B827FE">
        <w:rPr>
          <w:rFonts w:eastAsiaTheme="minorEastAsia"/>
          <w:lang w:val="fr-FR"/>
        </w:rPr>
        <w:t>la diversification des sources de revenus ainsi que des cultures</w:t>
      </w:r>
      <w:r w:rsidR="007B6B83" w:rsidRPr="34B827FE">
        <w:rPr>
          <w:rFonts w:eastAsiaTheme="minorEastAsia"/>
          <w:lang w:val="fr-FR"/>
        </w:rPr>
        <w:t>,</w:t>
      </w:r>
      <w:r w:rsidR="00CD7890" w:rsidRPr="34B827FE">
        <w:rPr>
          <w:rFonts w:eastAsiaTheme="minorEastAsia"/>
          <w:lang w:val="fr-FR"/>
        </w:rPr>
        <w:t xml:space="preserve"> </w:t>
      </w:r>
      <w:r w:rsidR="1D2363D5" w:rsidRPr="34B827FE">
        <w:rPr>
          <w:rFonts w:eastAsiaTheme="minorEastAsia"/>
          <w:lang w:val="fr-FR"/>
        </w:rPr>
        <w:t>et</w:t>
      </w:r>
      <w:r w:rsidR="604C624E" w:rsidRPr="34B827FE">
        <w:rPr>
          <w:rFonts w:eastAsiaTheme="minorEastAsia"/>
          <w:lang w:val="fr-FR"/>
        </w:rPr>
        <w:t xml:space="preserve"> </w:t>
      </w:r>
      <w:r w:rsidR="0F4DB34A" w:rsidRPr="34B827FE">
        <w:rPr>
          <w:rFonts w:eastAsiaTheme="minorEastAsia"/>
          <w:lang w:val="fr-FR"/>
        </w:rPr>
        <w:t>le planning familial</w:t>
      </w:r>
      <w:r w:rsidR="20F9FD6C" w:rsidRPr="34B827FE">
        <w:rPr>
          <w:rFonts w:eastAsiaTheme="minorEastAsia"/>
          <w:lang w:val="fr-FR"/>
        </w:rPr>
        <w:t xml:space="preserve"> qui représentent </w:t>
      </w:r>
      <w:r w:rsidR="20758EB1" w:rsidRPr="34B827FE">
        <w:rPr>
          <w:rFonts w:eastAsiaTheme="minorEastAsia"/>
          <w:lang w:val="fr-FR"/>
        </w:rPr>
        <w:t xml:space="preserve">des éléments essentiels à la construction </w:t>
      </w:r>
      <w:r w:rsidR="00A122FF" w:rsidRPr="34B827FE">
        <w:rPr>
          <w:rFonts w:eastAsiaTheme="minorEastAsia"/>
          <w:lang w:val="fr-FR"/>
        </w:rPr>
        <w:t>de</w:t>
      </w:r>
      <w:r w:rsidR="20758EB1" w:rsidRPr="34B827FE">
        <w:rPr>
          <w:rFonts w:eastAsiaTheme="minorEastAsia"/>
          <w:lang w:val="fr-FR"/>
        </w:rPr>
        <w:t xml:space="preserve"> moyen</w:t>
      </w:r>
      <w:r w:rsidR="00A122FF" w:rsidRPr="34B827FE">
        <w:rPr>
          <w:rFonts w:eastAsiaTheme="minorEastAsia"/>
          <w:lang w:val="fr-FR"/>
        </w:rPr>
        <w:t>s</w:t>
      </w:r>
      <w:r w:rsidR="20758EB1" w:rsidRPr="34B827FE">
        <w:rPr>
          <w:rFonts w:eastAsiaTheme="minorEastAsia"/>
          <w:lang w:val="fr-FR"/>
        </w:rPr>
        <w:t xml:space="preserve"> de subsistance agro-past</w:t>
      </w:r>
      <w:r w:rsidR="00A122FF" w:rsidRPr="34B827FE">
        <w:rPr>
          <w:rFonts w:eastAsiaTheme="minorEastAsia"/>
          <w:lang w:val="fr-FR"/>
        </w:rPr>
        <w:t>oraux</w:t>
      </w:r>
      <w:r w:rsidR="20758EB1" w:rsidRPr="34B827FE">
        <w:rPr>
          <w:rFonts w:eastAsiaTheme="minorEastAsia"/>
          <w:lang w:val="fr-FR"/>
        </w:rPr>
        <w:t xml:space="preserve"> plus résilient</w:t>
      </w:r>
      <w:r w:rsidR="00A122FF" w:rsidRPr="34B827FE">
        <w:rPr>
          <w:rFonts w:eastAsiaTheme="minorEastAsia"/>
          <w:lang w:val="fr-FR"/>
        </w:rPr>
        <w:t>s</w:t>
      </w:r>
      <w:r w:rsidR="20758EB1" w:rsidRPr="34B827FE">
        <w:rPr>
          <w:rFonts w:eastAsiaTheme="minorEastAsia"/>
          <w:lang w:val="fr-FR"/>
        </w:rPr>
        <w:t xml:space="preserve">. </w:t>
      </w:r>
      <w:r w:rsidR="20F9FD6C" w:rsidRPr="34B827FE">
        <w:rPr>
          <w:rFonts w:eastAsiaTheme="minorEastAsia"/>
          <w:lang w:val="fr-FR"/>
        </w:rPr>
        <w:t xml:space="preserve"> </w:t>
      </w:r>
    </w:p>
    <w:p w14:paraId="2AD802F6" w14:textId="3D332956" w:rsidR="00920BA5" w:rsidRPr="007559BD" w:rsidRDefault="0C9C852F" w:rsidP="34B827FE">
      <w:pPr>
        <w:spacing w:beforeAutospacing="1" w:afterAutospacing="1" w:line="240" w:lineRule="auto"/>
        <w:jc w:val="both"/>
        <w:rPr>
          <w:rFonts w:eastAsiaTheme="minorEastAsia"/>
          <w:color w:val="2E74B5" w:themeColor="accent1" w:themeShade="BF"/>
          <w:sz w:val="32"/>
          <w:szCs w:val="32"/>
          <w:lang w:val="fr-FR"/>
        </w:rPr>
      </w:pPr>
      <w:r w:rsidRPr="34B827FE">
        <w:rPr>
          <w:rFonts w:eastAsiaTheme="minorEastAsia"/>
          <w:color w:val="2E74B5" w:themeColor="accent1" w:themeShade="BF"/>
          <w:sz w:val="32"/>
          <w:szCs w:val="32"/>
          <w:lang w:val="fr-FR"/>
        </w:rPr>
        <w:t xml:space="preserve">Messages clés - </w:t>
      </w:r>
      <w:r w:rsidR="00920BA5" w:rsidRPr="34B827FE">
        <w:rPr>
          <w:rFonts w:eastAsiaTheme="minorEastAsia"/>
          <w:color w:val="2E74B5" w:themeColor="accent1" w:themeShade="BF"/>
          <w:sz w:val="32"/>
          <w:szCs w:val="32"/>
          <w:lang w:val="fr-FR"/>
        </w:rPr>
        <w:t xml:space="preserve">Conflits et chocs </w:t>
      </w:r>
    </w:p>
    <w:p w14:paraId="44FD50F1" w14:textId="6A3B49C0" w:rsidR="3D839FB3" w:rsidRPr="00B14F1E" w:rsidRDefault="1C584A4B" w:rsidP="34B827FE">
      <w:pPr>
        <w:jc w:val="both"/>
        <w:rPr>
          <w:rFonts w:eastAsiaTheme="minorEastAsia"/>
          <w:lang w:val="fr-FR"/>
        </w:rPr>
      </w:pPr>
      <w:r w:rsidRPr="34B827FE">
        <w:rPr>
          <w:rFonts w:eastAsiaTheme="minorEastAsia"/>
          <w:lang w:val="fr-FR"/>
        </w:rPr>
        <w:t xml:space="preserve">La sécheresse (26 %) et la perte de bétail (12 %) sont les chocs les plus importants auxquels les communautés </w:t>
      </w:r>
      <w:r w:rsidR="27A6DD2E" w:rsidRPr="34B827FE">
        <w:rPr>
          <w:rFonts w:eastAsiaTheme="minorEastAsia"/>
          <w:lang w:val="fr-FR"/>
        </w:rPr>
        <w:t xml:space="preserve">dans les zones d’intervention </w:t>
      </w:r>
      <w:r w:rsidR="72656693" w:rsidRPr="34B827FE">
        <w:rPr>
          <w:rFonts w:eastAsiaTheme="minorEastAsia"/>
          <w:lang w:val="fr-FR"/>
        </w:rPr>
        <w:t>sont</w:t>
      </w:r>
      <w:r w:rsidRPr="34B827FE">
        <w:rPr>
          <w:rFonts w:eastAsiaTheme="minorEastAsia"/>
          <w:lang w:val="fr-FR"/>
        </w:rPr>
        <w:t xml:space="preserve"> confrontées au cours des douze mois précédant </w:t>
      </w:r>
      <w:r w:rsidR="75602750" w:rsidRPr="34B827FE">
        <w:rPr>
          <w:rFonts w:eastAsiaTheme="minorEastAsia"/>
          <w:lang w:val="fr-FR"/>
        </w:rPr>
        <w:t xml:space="preserve">l’étude de </w:t>
      </w:r>
      <w:r w:rsidR="7378678C" w:rsidRPr="34B827FE">
        <w:rPr>
          <w:rFonts w:eastAsiaTheme="minorEastAsia"/>
          <w:lang w:val="fr-FR"/>
        </w:rPr>
        <w:t>référence</w:t>
      </w:r>
      <w:r w:rsidRPr="34B827FE">
        <w:rPr>
          <w:rFonts w:eastAsiaTheme="minorEastAsia"/>
          <w:lang w:val="fr-FR"/>
        </w:rPr>
        <w:t>. Cela oblige les ménages à épuiser leurs économies</w:t>
      </w:r>
      <w:r w:rsidR="5204A417" w:rsidRPr="34B827FE">
        <w:rPr>
          <w:rFonts w:eastAsiaTheme="minorEastAsia"/>
          <w:lang w:val="fr-FR"/>
        </w:rPr>
        <w:t xml:space="preserve"> </w:t>
      </w:r>
      <w:r w:rsidR="6A52EE65" w:rsidRPr="34B827FE">
        <w:rPr>
          <w:rFonts w:eastAsiaTheme="minorEastAsia"/>
          <w:lang w:val="fr-FR"/>
        </w:rPr>
        <w:t xml:space="preserve">et </w:t>
      </w:r>
      <w:r w:rsidR="0088547F" w:rsidRPr="34B827FE">
        <w:rPr>
          <w:rFonts w:eastAsiaTheme="minorEastAsia"/>
          <w:lang w:val="fr-FR"/>
        </w:rPr>
        <w:t>à</w:t>
      </w:r>
      <w:r w:rsidR="6A52EE65" w:rsidRPr="34B827FE">
        <w:rPr>
          <w:rFonts w:eastAsiaTheme="minorEastAsia"/>
          <w:lang w:val="fr-FR"/>
        </w:rPr>
        <w:t xml:space="preserve"> adopter des </w:t>
      </w:r>
      <w:r w:rsidR="5204A417" w:rsidRPr="34B827FE">
        <w:rPr>
          <w:rFonts w:eastAsiaTheme="minorEastAsia"/>
          <w:lang w:val="fr-FR"/>
        </w:rPr>
        <w:t>stratégie</w:t>
      </w:r>
      <w:r w:rsidR="308196D3" w:rsidRPr="34B827FE">
        <w:rPr>
          <w:rFonts w:eastAsiaTheme="minorEastAsia"/>
          <w:lang w:val="fr-FR"/>
        </w:rPr>
        <w:t>s</w:t>
      </w:r>
      <w:r w:rsidR="5204A417" w:rsidRPr="34B827FE">
        <w:rPr>
          <w:rFonts w:eastAsiaTheme="minorEastAsia"/>
          <w:lang w:val="fr-FR"/>
        </w:rPr>
        <w:t xml:space="preserve"> d’adaptation</w:t>
      </w:r>
      <w:r w:rsidR="18612D0A" w:rsidRPr="34B827FE">
        <w:rPr>
          <w:rFonts w:eastAsiaTheme="minorEastAsia"/>
          <w:lang w:val="fr-FR"/>
        </w:rPr>
        <w:t xml:space="preserve"> ayant des effets néfastes à long terme</w:t>
      </w:r>
      <w:r w:rsidR="5204A417" w:rsidRPr="34B827FE">
        <w:rPr>
          <w:rFonts w:eastAsiaTheme="minorEastAsia"/>
          <w:lang w:val="fr-FR"/>
        </w:rPr>
        <w:t xml:space="preserve"> </w:t>
      </w:r>
      <w:r w:rsidR="52CCA61E" w:rsidRPr="34B827FE">
        <w:rPr>
          <w:rFonts w:eastAsiaTheme="minorEastAsia"/>
          <w:lang w:val="fr-FR"/>
        </w:rPr>
        <w:t>(</w:t>
      </w:r>
      <w:r w:rsidR="43959FE5" w:rsidRPr="34B827FE">
        <w:rPr>
          <w:rFonts w:eastAsiaTheme="minorEastAsia"/>
          <w:lang w:val="fr-FR"/>
        </w:rPr>
        <w:t>26</w:t>
      </w:r>
      <w:r w:rsidR="5204A417" w:rsidRPr="34B827FE">
        <w:rPr>
          <w:rFonts w:eastAsiaTheme="minorEastAsia"/>
          <w:lang w:val="fr-FR"/>
        </w:rPr>
        <w:t>%</w:t>
      </w:r>
      <w:r w:rsidR="16051803" w:rsidRPr="34B827FE">
        <w:rPr>
          <w:rFonts w:eastAsiaTheme="minorEastAsia"/>
          <w:lang w:val="fr-FR"/>
        </w:rPr>
        <w:t xml:space="preserve"> des répondants)</w:t>
      </w:r>
      <w:r w:rsidR="0088547F" w:rsidRPr="34B827FE">
        <w:rPr>
          <w:rFonts w:eastAsiaTheme="minorEastAsia"/>
          <w:lang w:val="fr-FR"/>
        </w:rPr>
        <w:t xml:space="preserve"> </w:t>
      </w:r>
      <w:r w:rsidRPr="34B827FE">
        <w:rPr>
          <w:rFonts w:eastAsiaTheme="minorEastAsia"/>
          <w:lang w:val="fr-FR"/>
        </w:rPr>
        <w:t xml:space="preserve">pour satisfaire leurs besoins </w:t>
      </w:r>
      <w:r w:rsidR="30D95BBF" w:rsidRPr="34B827FE">
        <w:rPr>
          <w:rFonts w:eastAsiaTheme="minorEastAsia"/>
          <w:lang w:val="fr-FR"/>
        </w:rPr>
        <w:t>primaires</w:t>
      </w:r>
      <w:r w:rsidR="003F351E" w:rsidRPr="34B827FE">
        <w:rPr>
          <w:rFonts w:eastAsiaTheme="minorEastAsia"/>
          <w:lang w:val="fr-FR"/>
        </w:rPr>
        <w:t xml:space="preserve">. </w:t>
      </w:r>
      <w:r w:rsidRPr="34B827FE">
        <w:rPr>
          <w:rFonts w:eastAsiaTheme="minorEastAsia"/>
          <w:lang w:val="fr-FR"/>
        </w:rPr>
        <w:t>Le stress causé par ces chocs est étroitement lié aux principales de conflits vio</w:t>
      </w:r>
      <w:r w:rsidR="003F351E" w:rsidRPr="34B827FE">
        <w:rPr>
          <w:rFonts w:eastAsiaTheme="minorEastAsia"/>
          <w:lang w:val="fr-FR"/>
        </w:rPr>
        <w:t xml:space="preserve">lents au niveau des </w:t>
      </w:r>
      <w:proofErr w:type="gramStart"/>
      <w:r w:rsidR="003F351E" w:rsidRPr="34B827FE">
        <w:rPr>
          <w:rFonts w:eastAsiaTheme="minorEastAsia"/>
          <w:lang w:val="fr-FR"/>
        </w:rPr>
        <w:t>communautés</w:t>
      </w:r>
      <w:r w:rsidRPr="34B827FE">
        <w:rPr>
          <w:rFonts w:eastAsiaTheme="minorEastAsia"/>
          <w:lang w:val="fr-FR"/>
        </w:rPr>
        <w:t>:</w:t>
      </w:r>
      <w:proofErr w:type="gramEnd"/>
      <w:r w:rsidRPr="34B827FE">
        <w:rPr>
          <w:rFonts w:eastAsiaTheme="minorEastAsia"/>
          <w:lang w:val="fr-FR"/>
        </w:rPr>
        <w:t xml:space="preserve"> les litiges concernant l'accès à la terre et liés au bétail ont représenté 52 pour cent des conflits violents dans les communautés</w:t>
      </w:r>
      <w:r w:rsidR="003F351E" w:rsidRPr="34B827FE">
        <w:rPr>
          <w:rFonts w:eastAsiaTheme="minorEastAsia"/>
          <w:lang w:val="fr-FR"/>
        </w:rPr>
        <w:t xml:space="preserve"> qui selon les répondants. </w:t>
      </w:r>
      <w:r w:rsidR="000E0DA3" w:rsidRPr="34B827FE">
        <w:rPr>
          <w:rFonts w:eastAsiaTheme="minorEastAsia"/>
          <w:lang w:val="fr-FR"/>
        </w:rPr>
        <w:t xml:space="preserve">Bien que ce conflit violent ne soit pas fréquent (les répondants ont indiqué qu'il se produit généralement une fois tous les six mois), 63% des répondants ont indiqué qu'ils ont eu recours à la violence, parfois armée, au cours des douze derniers mois pour résoudre un </w:t>
      </w:r>
      <w:proofErr w:type="spellStart"/>
      <w:r w:rsidR="000E0DA3" w:rsidRPr="34B827FE">
        <w:rPr>
          <w:rFonts w:eastAsiaTheme="minorEastAsia"/>
          <w:lang w:val="fr-FR"/>
        </w:rPr>
        <w:t>disupte</w:t>
      </w:r>
      <w:proofErr w:type="spellEnd"/>
      <w:r w:rsidR="000E0DA3" w:rsidRPr="34B827FE">
        <w:rPr>
          <w:rFonts w:eastAsiaTheme="minorEastAsia"/>
          <w:lang w:val="fr-FR"/>
        </w:rPr>
        <w:t>. Quand les parties cherchent un intermédiaire pour résoudre les conflits, ils engagent souvent les</w:t>
      </w:r>
      <w:r w:rsidRPr="34B827FE">
        <w:rPr>
          <w:rFonts w:eastAsiaTheme="minorEastAsia"/>
          <w:lang w:val="fr-FR"/>
        </w:rPr>
        <w:t xml:space="preserve"> chefs traditionnels. </w:t>
      </w:r>
    </w:p>
    <w:p w14:paraId="2C86BA17" w14:textId="680C4FEF" w:rsidR="461ED516" w:rsidRPr="000B787D" w:rsidRDefault="1C584A4B" w:rsidP="34B827FE">
      <w:pPr>
        <w:jc w:val="both"/>
        <w:rPr>
          <w:rFonts w:eastAsiaTheme="minorEastAsia"/>
          <w:lang w:val="fr-FR"/>
        </w:rPr>
      </w:pPr>
      <w:r w:rsidRPr="34B827FE">
        <w:rPr>
          <w:rFonts w:eastAsiaTheme="minorEastAsia"/>
          <w:lang w:val="fr-FR"/>
        </w:rPr>
        <w:t xml:space="preserve"> </w:t>
      </w:r>
      <w:r w:rsidR="461ED516" w:rsidRPr="34B827FE">
        <w:rPr>
          <w:rFonts w:eastAsiaTheme="minorEastAsia"/>
          <w:b/>
          <w:bCs/>
          <w:lang w:val="fr-FR"/>
        </w:rPr>
        <w:t>Recommandation</w:t>
      </w:r>
      <w:r w:rsidR="3824D4E0" w:rsidRPr="34B827FE">
        <w:rPr>
          <w:rFonts w:eastAsiaTheme="minorEastAsia"/>
          <w:b/>
          <w:bCs/>
          <w:lang w:val="fr-FR"/>
        </w:rPr>
        <w:t>s</w:t>
      </w:r>
      <w:r w:rsidR="461ED516" w:rsidRPr="34B827FE">
        <w:rPr>
          <w:rFonts w:eastAsiaTheme="minorEastAsia"/>
          <w:b/>
          <w:bCs/>
          <w:lang w:val="fr-FR"/>
        </w:rPr>
        <w:t xml:space="preserve"> </w:t>
      </w:r>
    </w:p>
    <w:p w14:paraId="03088E65" w14:textId="77777777" w:rsidR="000E0DA3" w:rsidRDefault="1C584A4B" w:rsidP="34B827FE">
      <w:pPr>
        <w:jc w:val="both"/>
        <w:rPr>
          <w:rFonts w:eastAsiaTheme="minorEastAsia"/>
          <w:lang w:val="fr-FR"/>
        </w:rPr>
      </w:pPr>
      <w:r w:rsidRPr="34B827FE">
        <w:rPr>
          <w:rFonts w:eastAsiaTheme="minorEastAsia"/>
          <w:lang w:val="fr-FR"/>
        </w:rPr>
        <w:t>La FAO et ses partenaires travaillent, par le biais des interventions actuelles et complémentaires, à aider les communautés agropastorales à développer des stratégies durables qui augmentent leur résistance à ces chocs afin d'atténuer leur impact sur les ressources économiques et productives et de prévenir l'érosion du tissu social qui maintient les communautés ensemble</w:t>
      </w:r>
      <w:r w:rsidR="000E0DA3" w:rsidRPr="34B827FE">
        <w:rPr>
          <w:rFonts w:eastAsiaTheme="minorEastAsia"/>
          <w:lang w:val="fr-FR"/>
        </w:rPr>
        <w:t xml:space="preserve"> </w:t>
      </w:r>
      <w:r w:rsidRPr="34B827FE">
        <w:rPr>
          <w:rFonts w:eastAsiaTheme="minorEastAsia"/>
          <w:lang w:val="fr-FR"/>
        </w:rPr>
        <w:t xml:space="preserve">Pour aborder de manière plus globale les problèmes complexes qui touchent ces communautés, </w:t>
      </w:r>
      <w:r w:rsidR="000E0DA3" w:rsidRPr="34B827FE">
        <w:rPr>
          <w:rFonts w:eastAsiaTheme="minorEastAsia"/>
          <w:lang w:val="fr-FR"/>
        </w:rPr>
        <w:t>il est important, dès le départ, que la sensibilité aux conflits influence la conception et les modalités de mise en œuvre afin de réduire tout impact négatif et d'accentuer les résultats positifs.</w:t>
      </w:r>
    </w:p>
    <w:p w14:paraId="3B7C3B3E" w14:textId="5C290FE2" w:rsidR="3D839FB3" w:rsidRPr="000B787D" w:rsidRDefault="000E0DA3" w:rsidP="34B827FE">
      <w:pPr>
        <w:jc w:val="both"/>
        <w:rPr>
          <w:rFonts w:eastAsiaTheme="minorEastAsia"/>
          <w:lang w:val="fr-FR"/>
        </w:rPr>
      </w:pPr>
      <w:r w:rsidRPr="34B827FE">
        <w:rPr>
          <w:rFonts w:eastAsiaTheme="minorEastAsia"/>
          <w:lang w:val="fr-FR"/>
        </w:rPr>
        <w:t>Dans leurs approches, l</w:t>
      </w:r>
      <w:r w:rsidR="1C584A4B" w:rsidRPr="34B827FE">
        <w:rPr>
          <w:rFonts w:eastAsiaTheme="minorEastAsia"/>
          <w:lang w:val="fr-FR"/>
        </w:rPr>
        <w:t>es partenaires de la sécurité alimentaire devr</w:t>
      </w:r>
      <w:r w:rsidR="00C32687" w:rsidRPr="34B827FE">
        <w:rPr>
          <w:rFonts w:eastAsiaTheme="minorEastAsia"/>
          <w:lang w:val="fr-FR"/>
        </w:rPr>
        <w:t>aient s’</w:t>
      </w:r>
      <w:r w:rsidR="1C584A4B" w:rsidRPr="34B827FE">
        <w:rPr>
          <w:rFonts w:eastAsiaTheme="minorEastAsia"/>
          <w:lang w:val="fr-FR"/>
        </w:rPr>
        <w:t xml:space="preserve">engager avec des acteurs spécialisés dans le renforcement des capacités de résolution des conflits en matière de gouvernance </w:t>
      </w:r>
      <w:r w:rsidR="1C584A4B" w:rsidRPr="34B827FE">
        <w:rPr>
          <w:rFonts w:eastAsiaTheme="minorEastAsia"/>
          <w:lang w:val="fr-FR"/>
        </w:rPr>
        <w:lastRenderedPageBreak/>
        <w:t xml:space="preserve">locale afin d'aider les </w:t>
      </w:r>
      <w:r w:rsidRPr="34B827FE">
        <w:rPr>
          <w:rFonts w:eastAsiaTheme="minorEastAsia"/>
          <w:lang w:val="fr-FR"/>
        </w:rPr>
        <w:t>autorités locales</w:t>
      </w:r>
      <w:r w:rsidR="1C584A4B" w:rsidRPr="34B827FE">
        <w:rPr>
          <w:rFonts w:eastAsiaTheme="minorEastAsia"/>
          <w:lang w:val="fr-FR"/>
        </w:rPr>
        <w:t xml:space="preserve"> et les membres des communautés à prévenir et à gérer les conflits violents au niveau local concernant les ressources rares. En outre, le fait de lier le soutien technique à l'agriculture aux compétences en matière de résolution des conflits peut faciliter le dialogue entre les participants, ce qui pourrait conduire à une plus grande cohésion sociale.</w:t>
      </w:r>
      <w:r w:rsidR="22420F2D" w:rsidRPr="34B827FE">
        <w:rPr>
          <w:rFonts w:eastAsiaTheme="minorEastAsia"/>
          <w:lang w:val="fr-FR"/>
        </w:rPr>
        <w:t xml:space="preserve"> Il est important d’introduire des composantes </w:t>
      </w:r>
      <w:r w:rsidR="0650D785" w:rsidRPr="34B827FE">
        <w:rPr>
          <w:rFonts w:eastAsiaTheme="minorEastAsia"/>
          <w:lang w:val="fr-FR"/>
        </w:rPr>
        <w:t xml:space="preserve">de </w:t>
      </w:r>
      <w:r w:rsidR="22420F2D" w:rsidRPr="34B827FE">
        <w:rPr>
          <w:rFonts w:eastAsiaTheme="minorEastAsia"/>
          <w:lang w:val="fr-FR"/>
        </w:rPr>
        <w:t>collaboration entre les producteurs agricoles et les éleveurs dans</w:t>
      </w:r>
      <w:r w:rsidR="1C584A4B" w:rsidRPr="34B827FE">
        <w:rPr>
          <w:rFonts w:eastAsiaTheme="minorEastAsia"/>
          <w:lang w:val="fr-FR"/>
        </w:rPr>
        <w:t xml:space="preserve"> </w:t>
      </w:r>
      <w:r w:rsidR="7964817B" w:rsidRPr="34B827FE">
        <w:rPr>
          <w:rFonts w:eastAsiaTheme="minorEastAsia"/>
          <w:lang w:val="fr-FR"/>
        </w:rPr>
        <w:t>l</w:t>
      </w:r>
      <w:r w:rsidR="381E6CE6" w:rsidRPr="34B827FE">
        <w:rPr>
          <w:rFonts w:eastAsiaTheme="minorEastAsia"/>
          <w:lang w:val="fr-FR"/>
        </w:rPr>
        <w:t xml:space="preserve">es interventions </w:t>
      </w:r>
      <w:r w:rsidR="342765D7" w:rsidRPr="34B827FE">
        <w:rPr>
          <w:rFonts w:eastAsiaTheme="minorEastAsia"/>
          <w:lang w:val="fr-FR"/>
        </w:rPr>
        <w:t xml:space="preserve">afin de renforcer le tissu social et les meilleures pratiques dans un environnement de </w:t>
      </w:r>
      <w:r w:rsidR="1830C627" w:rsidRPr="34B827FE">
        <w:rPr>
          <w:rFonts w:eastAsiaTheme="minorEastAsia"/>
          <w:lang w:val="fr-FR"/>
        </w:rPr>
        <w:t>coexistence de ces deux catégories de populations.</w:t>
      </w:r>
      <w:r w:rsidR="00F15ACD" w:rsidRPr="34B827FE">
        <w:rPr>
          <w:rFonts w:eastAsiaTheme="minorEastAsia"/>
          <w:lang w:val="fr-FR"/>
        </w:rPr>
        <w:t xml:space="preserve"> </w:t>
      </w:r>
      <w:r w:rsidR="00DA0B0B" w:rsidRPr="34B827FE">
        <w:rPr>
          <w:rFonts w:eastAsiaTheme="minorEastAsia"/>
          <w:lang w:val="fr-FR"/>
        </w:rPr>
        <w:t>Finalement,</w:t>
      </w:r>
      <w:r w:rsidR="331F70AB" w:rsidRPr="34B827FE">
        <w:rPr>
          <w:rFonts w:eastAsiaTheme="minorEastAsia"/>
          <w:lang w:val="fr-FR"/>
        </w:rPr>
        <w:t xml:space="preserve"> investissement dans la redevabilité vers les populations affectées </w:t>
      </w:r>
      <w:r w:rsidR="37338876" w:rsidRPr="34B827FE">
        <w:rPr>
          <w:rFonts w:eastAsiaTheme="minorEastAsia"/>
          <w:lang w:val="fr-FR"/>
        </w:rPr>
        <w:t xml:space="preserve">- </w:t>
      </w:r>
      <w:r w:rsidR="454B10B3" w:rsidRPr="34B827FE">
        <w:rPr>
          <w:rFonts w:eastAsiaTheme="minorEastAsia"/>
          <w:lang w:val="fr-FR"/>
        </w:rPr>
        <w:t>l’engagement des populations</w:t>
      </w:r>
      <w:r w:rsidR="0336219D" w:rsidRPr="34B827FE">
        <w:rPr>
          <w:rFonts w:eastAsiaTheme="minorEastAsia"/>
          <w:lang w:val="fr-FR"/>
        </w:rPr>
        <w:t>,</w:t>
      </w:r>
      <w:r w:rsidR="454B10B3" w:rsidRPr="34B827FE">
        <w:rPr>
          <w:rFonts w:eastAsiaTheme="minorEastAsia"/>
          <w:lang w:val="fr-FR"/>
        </w:rPr>
        <w:t xml:space="preserve"> </w:t>
      </w:r>
      <w:r w:rsidR="37338876" w:rsidRPr="34B827FE">
        <w:rPr>
          <w:rFonts w:eastAsiaTheme="minorEastAsia"/>
          <w:lang w:val="fr-FR"/>
        </w:rPr>
        <w:t xml:space="preserve">un partage d’informations robuste sur le projet, </w:t>
      </w:r>
      <w:r w:rsidR="0FBEB9CF" w:rsidRPr="34B827FE">
        <w:rPr>
          <w:rFonts w:eastAsiaTheme="minorEastAsia"/>
          <w:lang w:val="fr-FR"/>
        </w:rPr>
        <w:t>le</w:t>
      </w:r>
      <w:r w:rsidR="3C5436A5" w:rsidRPr="34B827FE">
        <w:rPr>
          <w:rFonts w:eastAsiaTheme="minorEastAsia"/>
          <w:lang w:val="fr-FR"/>
        </w:rPr>
        <w:t>s échanges réguliers avec les</w:t>
      </w:r>
      <w:r w:rsidR="3A93B0CF" w:rsidRPr="34B827FE">
        <w:rPr>
          <w:rFonts w:eastAsiaTheme="minorEastAsia"/>
          <w:lang w:val="fr-FR"/>
        </w:rPr>
        <w:t xml:space="preserve"> </w:t>
      </w:r>
      <w:r w:rsidR="00C32687" w:rsidRPr="34B827FE">
        <w:rPr>
          <w:rFonts w:eastAsiaTheme="minorEastAsia"/>
          <w:lang w:val="fr-FR"/>
        </w:rPr>
        <w:t>communautés</w:t>
      </w:r>
      <w:r w:rsidR="40F1A993" w:rsidRPr="34B827FE">
        <w:rPr>
          <w:rFonts w:eastAsiaTheme="minorEastAsia"/>
          <w:lang w:val="fr-FR"/>
        </w:rPr>
        <w:t xml:space="preserve"> </w:t>
      </w:r>
      <w:r w:rsidR="3ED1E401" w:rsidRPr="34B827FE">
        <w:rPr>
          <w:rFonts w:eastAsiaTheme="minorEastAsia"/>
          <w:lang w:val="fr-FR"/>
        </w:rPr>
        <w:t>bénéficiaires</w:t>
      </w:r>
      <w:r w:rsidR="40F1A993" w:rsidRPr="34B827FE">
        <w:rPr>
          <w:rFonts w:eastAsiaTheme="minorEastAsia"/>
          <w:lang w:val="fr-FR"/>
        </w:rPr>
        <w:t xml:space="preserve"> </w:t>
      </w:r>
      <w:r w:rsidR="37049A73" w:rsidRPr="34B827FE">
        <w:rPr>
          <w:rFonts w:eastAsiaTheme="minorEastAsia"/>
          <w:lang w:val="fr-FR"/>
        </w:rPr>
        <w:t>sont</w:t>
      </w:r>
      <w:r w:rsidR="40F1A993" w:rsidRPr="34B827FE">
        <w:rPr>
          <w:rFonts w:eastAsiaTheme="minorEastAsia"/>
          <w:lang w:val="fr-FR"/>
        </w:rPr>
        <w:t xml:space="preserve"> important</w:t>
      </w:r>
      <w:r w:rsidR="5F8B5A7A" w:rsidRPr="34B827FE">
        <w:rPr>
          <w:rFonts w:eastAsiaTheme="minorEastAsia"/>
          <w:lang w:val="fr-FR"/>
        </w:rPr>
        <w:t>s</w:t>
      </w:r>
      <w:r w:rsidR="37338876" w:rsidRPr="34B827FE">
        <w:rPr>
          <w:rFonts w:eastAsiaTheme="minorEastAsia"/>
          <w:lang w:val="fr-FR"/>
        </w:rPr>
        <w:t xml:space="preserve"> </w:t>
      </w:r>
      <w:r w:rsidR="331F70AB" w:rsidRPr="34B827FE">
        <w:rPr>
          <w:rFonts w:eastAsiaTheme="minorEastAsia"/>
          <w:lang w:val="fr-FR"/>
        </w:rPr>
        <w:t xml:space="preserve">afin d’assurer que les </w:t>
      </w:r>
      <w:r w:rsidR="295129AB" w:rsidRPr="34B827FE">
        <w:rPr>
          <w:rFonts w:eastAsiaTheme="minorEastAsia"/>
          <w:lang w:val="fr-FR"/>
        </w:rPr>
        <w:t>activités</w:t>
      </w:r>
      <w:r w:rsidR="3413490F" w:rsidRPr="34B827FE">
        <w:rPr>
          <w:rFonts w:eastAsiaTheme="minorEastAsia"/>
          <w:lang w:val="fr-FR"/>
        </w:rPr>
        <w:t xml:space="preserve"> sont</w:t>
      </w:r>
      <w:r w:rsidR="150F8070" w:rsidRPr="34B827FE">
        <w:rPr>
          <w:rFonts w:eastAsiaTheme="minorEastAsia"/>
          <w:lang w:val="fr-FR"/>
        </w:rPr>
        <w:t xml:space="preserve"> </w:t>
      </w:r>
      <w:r w:rsidR="054C84CD" w:rsidRPr="34B827FE">
        <w:rPr>
          <w:rFonts w:eastAsiaTheme="minorEastAsia"/>
          <w:lang w:val="fr-FR"/>
        </w:rPr>
        <w:t>menées en tout transparence</w:t>
      </w:r>
      <w:r w:rsidR="2F4E86A2" w:rsidRPr="34B827FE">
        <w:rPr>
          <w:rFonts w:eastAsiaTheme="minorEastAsia"/>
          <w:lang w:val="fr-FR"/>
        </w:rPr>
        <w:t xml:space="preserve"> et n</w:t>
      </w:r>
      <w:r w:rsidR="00A122FF" w:rsidRPr="34B827FE">
        <w:rPr>
          <w:rFonts w:eastAsiaTheme="minorEastAsia"/>
          <w:lang w:val="fr-FR"/>
        </w:rPr>
        <w:t xml:space="preserve">e pas </w:t>
      </w:r>
      <w:r w:rsidR="2F4E86A2" w:rsidRPr="34B827FE">
        <w:rPr>
          <w:rFonts w:eastAsiaTheme="minorEastAsia"/>
          <w:lang w:val="fr-FR"/>
        </w:rPr>
        <w:t>exacerber les conflits existants</w:t>
      </w:r>
      <w:r w:rsidR="39E6D7BF" w:rsidRPr="34B827FE">
        <w:rPr>
          <w:rFonts w:eastAsiaTheme="minorEastAsia"/>
          <w:lang w:val="fr-FR"/>
        </w:rPr>
        <w:t xml:space="preserve"> </w:t>
      </w:r>
      <w:r w:rsidR="00C32687" w:rsidRPr="34B827FE">
        <w:rPr>
          <w:rFonts w:eastAsiaTheme="minorEastAsia"/>
          <w:lang w:val="fr-FR"/>
        </w:rPr>
        <w:t>et atteindre</w:t>
      </w:r>
      <w:r w:rsidR="6B100340" w:rsidRPr="34B827FE">
        <w:rPr>
          <w:rFonts w:eastAsiaTheme="minorEastAsia"/>
          <w:lang w:val="fr-FR"/>
        </w:rPr>
        <w:t xml:space="preserve"> un impact positif sur la résilience des ménages ciblés</w:t>
      </w:r>
      <w:r w:rsidR="150F8070" w:rsidRPr="34B827FE">
        <w:rPr>
          <w:rFonts w:eastAsiaTheme="minorEastAsia"/>
          <w:lang w:val="fr-FR"/>
        </w:rPr>
        <w:t xml:space="preserve">. </w:t>
      </w:r>
    </w:p>
    <w:p w14:paraId="43C3580F" w14:textId="4FF20E42" w:rsidR="00B75A64" w:rsidRDefault="00B75A64" w:rsidP="34B827FE">
      <w:pPr>
        <w:jc w:val="both"/>
        <w:rPr>
          <w:rFonts w:eastAsiaTheme="minorEastAsia"/>
          <w:lang w:val="fr-FR"/>
        </w:rPr>
      </w:pPr>
    </w:p>
    <w:p w14:paraId="1419CEF3" w14:textId="396CA458" w:rsidR="001B00C7" w:rsidRDefault="001B00C7" w:rsidP="34B827FE">
      <w:pPr>
        <w:jc w:val="both"/>
        <w:rPr>
          <w:rFonts w:eastAsiaTheme="minorEastAsia"/>
          <w:lang w:val="fr-FR"/>
        </w:rPr>
      </w:pPr>
    </w:p>
    <w:p w14:paraId="16203427" w14:textId="60F1D9CF" w:rsidR="001B00C7" w:rsidRDefault="79D9E767" w:rsidP="34B827FE">
      <w:pPr>
        <w:jc w:val="both"/>
        <w:rPr>
          <w:rFonts w:eastAsiaTheme="minorEastAsia"/>
          <w:lang w:val="fr-FR"/>
        </w:rPr>
      </w:pPr>
      <w:r w:rsidRPr="34B827FE">
        <w:rPr>
          <w:rFonts w:eastAsiaTheme="minorEastAsia"/>
          <w:lang w:val="fr-FR"/>
        </w:rPr>
        <w:t>Faits saillants</w:t>
      </w:r>
      <w:r w:rsidR="001B00C7" w:rsidRPr="34B827FE">
        <w:rPr>
          <w:rFonts w:eastAsiaTheme="minorEastAsia"/>
          <w:lang w:val="fr-FR"/>
        </w:rPr>
        <w:t> :</w:t>
      </w:r>
    </w:p>
    <w:p w14:paraId="518010FB" w14:textId="59D613AE" w:rsidR="001B00C7" w:rsidRDefault="6F241A55" w:rsidP="34B827FE">
      <w:pPr>
        <w:jc w:val="both"/>
        <w:rPr>
          <w:rFonts w:eastAsiaTheme="minorEastAsia"/>
          <w:lang w:val="fr-FR"/>
        </w:rPr>
      </w:pPr>
      <w:r w:rsidRPr="34B827FE">
        <w:rPr>
          <w:rFonts w:eastAsiaTheme="minorEastAsia"/>
          <w:lang w:val="fr-FR"/>
        </w:rPr>
        <w:t>Echantillonnage</w:t>
      </w:r>
      <w:r w:rsidR="001B00C7" w:rsidRPr="34B827FE">
        <w:rPr>
          <w:rFonts w:eastAsiaTheme="minorEastAsia"/>
          <w:lang w:val="fr-FR"/>
        </w:rPr>
        <w:t> : 2 213</w:t>
      </w:r>
    </w:p>
    <w:p w14:paraId="75A2A93E" w14:textId="77777777" w:rsidR="001B00C7" w:rsidRDefault="001B00C7" w:rsidP="34B827FE">
      <w:pPr>
        <w:jc w:val="both"/>
        <w:rPr>
          <w:rFonts w:eastAsiaTheme="minorEastAsia"/>
          <w:lang w:val="fr-FR"/>
        </w:rPr>
      </w:pPr>
    </w:p>
    <w:p w14:paraId="17E98CBA" w14:textId="3C6A33B1" w:rsidR="001B00C7" w:rsidRDefault="001B00C7" w:rsidP="34B827FE">
      <w:pPr>
        <w:jc w:val="both"/>
        <w:rPr>
          <w:rFonts w:eastAsiaTheme="minorEastAsia"/>
          <w:lang w:val="fr-FR"/>
        </w:rPr>
      </w:pPr>
      <w:r w:rsidRPr="34B827FE">
        <w:rPr>
          <w:rFonts w:eastAsiaTheme="minorEastAsia"/>
          <w:lang w:val="fr-FR"/>
        </w:rPr>
        <w:t>Période de collecte : mai-juin 2019</w:t>
      </w:r>
    </w:p>
    <w:p w14:paraId="4849ADFD" w14:textId="77777777" w:rsidR="001B00C7" w:rsidRDefault="001B00C7" w:rsidP="34B827FE">
      <w:pPr>
        <w:pStyle w:val="Default"/>
        <w:jc w:val="both"/>
        <w:rPr>
          <w:rFonts w:asciiTheme="minorHAnsi" w:eastAsiaTheme="minorEastAsia" w:hAnsiTheme="minorHAnsi" w:cstheme="minorBidi"/>
          <w:color w:val="auto"/>
          <w:sz w:val="22"/>
          <w:szCs w:val="22"/>
          <w:lang w:val="fr-FR"/>
        </w:rPr>
      </w:pPr>
      <w:r w:rsidRPr="34B827FE">
        <w:rPr>
          <w:rFonts w:asciiTheme="minorHAnsi" w:eastAsiaTheme="minorEastAsia" w:hAnsiTheme="minorHAnsi" w:cstheme="minorBidi"/>
          <w:color w:val="auto"/>
          <w:sz w:val="22"/>
          <w:szCs w:val="22"/>
          <w:lang w:val="fr-FR"/>
        </w:rPr>
        <w:t xml:space="preserve">Régions couvertes : </w:t>
      </w:r>
    </w:p>
    <w:p w14:paraId="6BE48D76" w14:textId="77777777" w:rsidR="00AD1630" w:rsidRDefault="00AD1630" w:rsidP="34B827FE">
      <w:pPr>
        <w:pStyle w:val="Default"/>
        <w:numPr>
          <w:ilvl w:val="0"/>
          <w:numId w:val="2"/>
        </w:numPr>
        <w:jc w:val="both"/>
        <w:rPr>
          <w:rFonts w:asciiTheme="minorHAnsi" w:eastAsiaTheme="minorEastAsia" w:hAnsiTheme="minorHAnsi" w:cstheme="minorBidi"/>
          <w:color w:val="auto"/>
          <w:sz w:val="22"/>
          <w:szCs w:val="22"/>
          <w:lang w:val="fr-FR"/>
        </w:rPr>
      </w:pPr>
      <w:r w:rsidRPr="34B827FE">
        <w:rPr>
          <w:rFonts w:asciiTheme="minorHAnsi" w:eastAsiaTheme="minorEastAsia" w:hAnsiTheme="minorHAnsi" w:cstheme="minorBidi"/>
          <w:color w:val="auto"/>
          <w:sz w:val="22"/>
          <w:szCs w:val="22"/>
          <w:lang w:val="fr-FR"/>
        </w:rPr>
        <w:t xml:space="preserve">Région : </w:t>
      </w:r>
      <w:proofErr w:type="spellStart"/>
      <w:r w:rsidR="001B00C7" w:rsidRPr="34B827FE">
        <w:rPr>
          <w:rFonts w:asciiTheme="minorHAnsi" w:eastAsiaTheme="minorEastAsia" w:hAnsiTheme="minorHAnsi" w:cstheme="minorBidi"/>
          <w:color w:val="auto"/>
          <w:sz w:val="22"/>
          <w:szCs w:val="22"/>
          <w:lang w:val="fr-FR"/>
        </w:rPr>
        <w:t>Tillabéri</w:t>
      </w:r>
      <w:proofErr w:type="spellEnd"/>
      <w:r w:rsidR="001B00C7" w:rsidRPr="34B827FE">
        <w:rPr>
          <w:rFonts w:asciiTheme="minorHAnsi" w:eastAsiaTheme="minorEastAsia" w:hAnsiTheme="minorHAnsi" w:cstheme="minorBidi"/>
          <w:color w:val="auto"/>
          <w:sz w:val="22"/>
          <w:szCs w:val="22"/>
          <w:lang w:val="fr-FR"/>
        </w:rPr>
        <w:t xml:space="preserve"> : </w:t>
      </w:r>
    </w:p>
    <w:p w14:paraId="4A02F7E4" w14:textId="52535DA1" w:rsidR="001B00C7" w:rsidRPr="001B00C7" w:rsidRDefault="00AD1630" w:rsidP="34B827FE">
      <w:pPr>
        <w:pStyle w:val="Default"/>
        <w:numPr>
          <w:ilvl w:val="1"/>
          <w:numId w:val="2"/>
        </w:numPr>
        <w:jc w:val="both"/>
        <w:rPr>
          <w:rFonts w:asciiTheme="minorHAnsi" w:eastAsiaTheme="minorEastAsia" w:hAnsiTheme="minorHAnsi" w:cstheme="minorBidi"/>
          <w:color w:val="auto"/>
          <w:sz w:val="22"/>
          <w:szCs w:val="22"/>
          <w:lang w:val="fr-FR"/>
        </w:rPr>
      </w:pPr>
      <w:r w:rsidRPr="34B827FE">
        <w:rPr>
          <w:rFonts w:asciiTheme="minorHAnsi" w:eastAsiaTheme="minorEastAsia" w:hAnsiTheme="minorHAnsi" w:cstheme="minorBidi"/>
          <w:color w:val="auto"/>
          <w:sz w:val="22"/>
          <w:szCs w:val="22"/>
          <w:lang w:val="fr-FR"/>
        </w:rPr>
        <w:t xml:space="preserve">Communes </w:t>
      </w:r>
      <w:proofErr w:type="spellStart"/>
      <w:r w:rsidR="001B00C7" w:rsidRPr="34B827FE">
        <w:rPr>
          <w:rFonts w:asciiTheme="minorHAnsi" w:eastAsiaTheme="minorEastAsia" w:hAnsiTheme="minorHAnsi" w:cstheme="minorBidi"/>
          <w:color w:val="auto"/>
          <w:sz w:val="22"/>
          <w:szCs w:val="22"/>
          <w:lang w:val="fr-FR"/>
        </w:rPr>
        <w:t>Ayerou</w:t>
      </w:r>
      <w:proofErr w:type="spellEnd"/>
      <w:r w:rsidR="001B00C7" w:rsidRPr="34B827FE">
        <w:rPr>
          <w:rFonts w:asciiTheme="minorHAnsi" w:eastAsiaTheme="minorEastAsia" w:hAnsiTheme="minorHAnsi" w:cstheme="minorBidi"/>
          <w:color w:val="auto"/>
          <w:sz w:val="22"/>
          <w:szCs w:val="22"/>
          <w:lang w:val="fr-FR"/>
        </w:rPr>
        <w:t xml:space="preserve">, </w:t>
      </w:r>
      <w:proofErr w:type="spellStart"/>
      <w:r w:rsidR="001B00C7" w:rsidRPr="34B827FE">
        <w:rPr>
          <w:rFonts w:asciiTheme="minorHAnsi" w:eastAsiaTheme="minorEastAsia" w:hAnsiTheme="minorHAnsi" w:cstheme="minorBidi"/>
          <w:color w:val="auto"/>
          <w:sz w:val="22"/>
          <w:szCs w:val="22"/>
          <w:lang w:val="fr-FR"/>
        </w:rPr>
        <w:t>Banibangou</w:t>
      </w:r>
      <w:proofErr w:type="spellEnd"/>
      <w:r w:rsidR="001B00C7" w:rsidRPr="34B827FE">
        <w:rPr>
          <w:rFonts w:asciiTheme="minorHAnsi" w:eastAsiaTheme="minorEastAsia" w:hAnsiTheme="minorHAnsi" w:cstheme="minorBidi"/>
          <w:color w:val="auto"/>
          <w:sz w:val="22"/>
          <w:szCs w:val="22"/>
          <w:lang w:val="fr-FR"/>
        </w:rPr>
        <w:t xml:space="preserve">, </w:t>
      </w:r>
      <w:proofErr w:type="spellStart"/>
      <w:r w:rsidR="001B00C7" w:rsidRPr="34B827FE">
        <w:rPr>
          <w:rFonts w:asciiTheme="minorHAnsi" w:eastAsiaTheme="minorEastAsia" w:hAnsiTheme="minorHAnsi" w:cstheme="minorBidi"/>
          <w:color w:val="auto"/>
          <w:sz w:val="22"/>
          <w:szCs w:val="22"/>
          <w:lang w:val="fr-FR"/>
        </w:rPr>
        <w:t>Bankilaré</w:t>
      </w:r>
      <w:proofErr w:type="spellEnd"/>
      <w:r w:rsidR="001B00C7" w:rsidRPr="34B827FE">
        <w:rPr>
          <w:rFonts w:asciiTheme="minorHAnsi" w:eastAsiaTheme="minorEastAsia" w:hAnsiTheme="minorHAnsi" w:cstheme="minorBidi"/>
          <w:color w:val="auto"/>
          <w:sz w:val="22"/>
          <w:szCs w:val="22"/>
          <w:lang w:val="fr-FR"/>
        </w:rPr>
        <w:t xml:space="preserve">, </w:t>
      </w:r>
      <w:proofErr w:type="spellStart"/>
      <w:r w:rsidR="001B00C7" w:rsidRPr="34B827FE">
        <w:rPr>
          <w:rFonts w:asciiTheme="minorHAnsi" w:eastAsiaTheme="minorEastAsia" w:hAnsiTheme="minorHAnsi" w:cstheme="minorBidi"/>
          <w:color w:val="auto"/>
          <w:sz w:val="22"/>
          <w:szCs w:val="22"/>
          <w:lang w:val="fr-FR"/>
        </w:rPr>
        <w:t>Sanam</w:t>
      </w:r>
      <w:proofErr w:type="spellEnd"/>
      <w:r w:rsidR="001B00C7" w:rsidRPr="34B827FE">
        <w:rPr>
          <w:rFonts w:asciiTheme="minorHAnsi" w:eastAsiaTheme="minorEastAsia" w:hAnsiTheme="minorHAnsi" w:cstheme="minorBidi"/>
          <w:color w:val="auto"/>
          <w:sz w:val="22"/>
          <w:szCs w:val="22"/>
          <w:lang w:val="fr-FR"/>
        </w:rPr>
        <w:t xml:space="preserve">, Say, Téra, </w:t>
      </w:r>
      <w:proofErr w:type="spellStart"/>
      <w:r w:rsidR="001B00C7" w:rsidRPr="34B827FE">
        <w:rPr>
          <w:rFonts w:asciiTheme="minorHAnsi" w:eastAsiaTheme="minorEastAsia" w:hAnsiTheme="minorHAnsi" w:cstheme="minorBidi"/>
          <w:color w:val="auto"/>
          <w:sz w:val="22"/>
          <w:szCs w:val="22"/>
          <w:lang w:val="fr-FR"/>
        </w:rPr>
        <w:t>Torodi</w:t>
      </w:r>
      <w:proofErr w:type="spellEnd"/>
    </w:p>
    <w:p w14:paraId="5FA105FB" w14:textId="77777777" w:rsidR="00AD1630" w:rsidRDefault="00AD1630" w:rsidP="34B827FE">
      <w:pPr>
        <w:pStyle w:val="Default"/>
        <w:numPr>
          <w:ilvl w:val="0"/>
          <w:numId w:val="2"/>
        </w:numPr>
        <w:jc w:val="both"/>
        <w:rPr>
          <w:rFonts w:asciiTheme="minorHAnsi" w:eastAsiaTheme="minorEastAsia" w:hAnsiTheme="minorHAnsi" w:cstheme="minorBidi"/>
          <w:color w:val="auto"/>
          <w:sz w:val="22"/>
          <w:szCs w:val="22"/>
          <w:lang w:val="fr-FR"/>
        </w:rPr>
      </w:pPr>
      <w:r w:rsidRPr="34B827FE">
        <w:rPr>
          <w:rFonts w:asciiTheme="minorHAnsi" w:eastAsiaTheme="minorEastAsia" w:hAnsiTheme="minorHAnsi" w:cstheme="minorBidi"/>
          <w:color w:val="auto"/>
          <w:sz w:val="22"/>
          <w:szCs w:val="22"/>
          <w:lang w:val="fr-FR"/>
        </w:rPr>
        <w:t xml:space="preserve">Région : </w:t>
      </w:r>
    </w:p>
    <w:p w14:paraId="317557B5" w14:textId="27A8BDF7" w:rsidR="001B00C7" w:rsidRPr="001B00C7" w:rsidRDefault="00AD1630" w:rsidP="34B827FE">
      <w:pPr>
        <w:pStyle w:val="Default"/>
        <w:numPr>
          <w:ilvl w:val="1"/>
          <w:numId w:val="2"/>
        </w:numPr>
        <w:jc w:val="both"/>
        <w:rPr>
          <w:rFonts w:asciiTheme="minorHAnsi" w:eastAsiaTheme="minorEastAsia" w:hAnsiTheme="minorHAnsi" w:cstheme="minorBidi"/>
          <w:color w:val="auto"/>
          <w:sz w:val="22"/>
          <w:szCs w:val="22"/>
          <w:lang w:val="fr-FR"/>
        </w:rPr>
      </w:pPr>
      <w:r w:rsidRPr="34B827FE">
        <w:rPr>
          <w:rFonts w:asciiTheme="minorHAnsi" w:eastAsiaTheme="minorEastAsia" w:hAnsiTheme="minorHAnsi" w:cstheme="minorBidi"/>
          <w:color w:val="auto"/>
          <w:sz w:val="22"/>
          <w:szCs w:val="22"/>
          <w:lang w:val="fr-FR"/>
        </w:rPr>
        <w:t xml:space="preserve">Communes : </w:t>
      </w:r>
      <w:proofErr w:type="gramStart"/>
      <w:r w:rsidR="001B00C7" w:rsidRPr="34B827FE">
        <w:rPr>
          <w:rFonts w:asciiTheme="minorHAnsi" w:eastAsiaTheme="minorEastAsia" w:hAnsiTheme="minorHAnsi" w:cstheme="minorBidi"/>
          <w:color w:val="auto"/>
          <w:sz w:val="22"/>
          <w:szCs w:val="22"/>
          <w:lang w:val="fr-FR"/>
        </w:rPr>
        <w:t>Tahoua:</w:t>
      </w:r>
      <w:proofErr w:type="gramEnd"/>
      <w:r w:rsidR="001B00C7" w:rsidRPr="34B827FE">
        <w:rPr>
          <w:rFonts w:asciiTheme="minorHAnsi" w:eastAsiaTheme="minorEastAsia" w:hAnsiTheme="minorHAnsi" w:cstheme="minorBidi"/>
          <w:color w:val="auto"/>
          <w:sz w:val="22"/>
          <w:szCs w:val="22"/>
          <w:lang w:val="fr-FR"/>
        </w:rPr>
        <w:t xml:space="preserve"> </w:t>
      </w:r>
      <w:proofErr w:type="spellStart"/>
      <w:r w:rsidR="001B00C7" w:rsidRPr="34B827FE">
        <w:rPr>
          <w:rFonts w:asciiTheme="minorHAnsi" w:eastAsiaTheme="minorEastAsia" w:hAnsiTheme="minorHAnsi" w:cstheme="minorBidi"/>
          <w:color w:val="auto"/>
          <w:sz w:val="22"/>
          <w:szCs w:val="22"/>
          <w:lang w:val="fr-FR"/>
        </w:rPr>
        <w:t>Tassara</w:t>
      </w:r>
      <w:proofErr w:type="spellEnd"/>
      <w:r w:rsidR="001B00C7" w:rsidRPr="34B827FE">
        <w:rPr>
          <w:rFonts w:asciiTheme="minorHAnsi" w:eastAsiaTheme="minorEastAsia" w:hAnsiTheme="minorHAnsi" w:cstheme="minorBidi"/>
          <w:color w:val="auto"/>
          <w:sz w:val="22"/>
          <w:szCs w:val="22"/>
          <w:lang w:val="fr-FR"/>
        </w:rPr>
        <w:t>, Tillia</w:t>
      </w:r>
    </w:p>
    <w:p w14:paraId="26938E49" w14:textId="036C90A7" w:rsidR="001B00C7" w:rsidRPr="001B00C7" w:rsidRDefault="001B00C7" w:rsidP="34B827FE">
      <w:pPr>
        <w:pStyle w:val="Default"/>
        <w:jc w:val="both"/>
        <w:rPr>
          <w:rFonts w:asciiTheme="minorHAnsi" w:eastAsiaTheme="minorEastAsia" w:hAnsiTheme="minorHAnsi" w:cstheme="minorBidi"/>
          <w:color w:val="auto"/>
          <w:sz w:val="22"/>
          <w:szCs w:val="22"/>
          <w:lang w:val="fr-FR"/>
        </w:rPr>
      </w:pPr>
    </w:p>
    <w:p w14:paraId="514DD9F4" w14:textId="20C3F320" w:rsidR="001B00C7" w:rsidRPr="00AD1630" w:rsidRDefault="00B50FA2" w:rsidP="34B827FE">
      <w:pPr>
        <w:jc w:val="both"/>
        <w:rPr>
          <w:rFonts w:eastAsiaTheme="minorEastAsia"/>
          <w:color w:val="000000" w:themeColor="text1"/>
          <w:lang w:val="fr-FR"/>
        </w:rPr>
      </w:pPr>
      <w:r w:rsidRPr="34B827FE">
        <w:rPr>
          <w:rFonts w:eastAsiaTheme="minorEastAsia"/>
          <w:lang w:val="fr-FR"/>
        </w:rPr>
        <w:t>Méthodologie :</w:t>
      </w:r>
    </w:p>
    <w:p w14:paraId="1852C415" w14:textId="194FA45B" w:rsidR="00B50FA2" w:rsidRPr="00AD1630" w:rsidRDefault="00AD1630" w:rsidP="34B827FE">
      <w:pPr>
        <w:rPr>
          <w:rFonts w:eastAsiaTheme="minorEastAsia"/>
          <w:color w:val="000000" w:themeColor="text1"/>
          <w:lang w:val="fr-FR"/>
        </w:rPr>
      </w:pPr>
      <w:r w:rsidRPr="34B827FE">
        <w:rPr>
          <w:rFonts w:eastAsiaTheme="minorEastAsia"/>
          <w:color w:val="000000" w:themeColor="text1"/>
          <w:lang w:val="fr-FR"/>
        </w:rPr>
        <w:t>Méthodes quanti</w:t>
      </w:r>
      <w:r w:rsidR="00B50FA2" w:rsidRPr="34B827FE">
        <w:rPr>
          <w:rFonts w:eastAsiaTheme="minorEastAsia"/>
          <w:color w:val="000000" w:themeColor="text1"/>
          <w:lang w:val="fr-FR"/>
        </w:rPr>
        <w:t>t</w:t>
      </w:r>
      <w:r w:rsidRPr="34B827FE">
        <w:rPr>
          <w:rFonts w:eastAsiaTheme="minorEastAsia"/>
          <w:color w:val="000000" w:themeColor="text1"/>
          <w:lang w:val="fr-FR"/>
        </w:rPr>
        <w:t>at</w:t>
      </w:r>
      <w:r w:rsidR="00B50FA2" w:rsidRPr="34B827FE">
        <w:rPr>
          <w:rFonts w:eastAsiaTheme="minorEastAsia"/>
          <w:color w:val="000000" w:themeColor="text1"/>
          <w:lang w:val="fr-FR"/>
        </w:rPr>
        <w:t xml:space="preserve">ives, </w:t>
      </w:r>
      <w:r w:rsidRPr="34B827FE">
        <w:rPr>
          <w:rFonts w:eastAsiaTheme="minorEastAsia"/>
          <w:color w:val="000000" w:themeColor="text1"/>
          <w:lang w:val="fr-FR"/>
        </w:rPr>
        <w:t>la mesure et l'analyse de l'indice de résilience (RIMA)</w:t>
      </w:r>
    </w:p>
    <w:sectPr w:rsidR="00B50FA2" w:rsidRPr="00AD163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D10A32" w16cex:dateUtc="2020-04-03T14:33:30.39Z"/>
  <w16cex:commentExtensible w16cex:durableId="7340C41D" w16cex:dateUtc="2020-04-03T14:34:16.216Z"/>
  <w16cex:commentExtensible w16cex:durableId="3FA560BC" w16cex:dateUtc="2020-04-03T15:02:11.776Z"/>
  <w16cex:commentExtensible w16cex:durableId="0CE7A6F1" w16cex:dateUtc="2020-04-03T15:02:42.9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2E498" w16cid:durableId="2246FD51"/>
  <w16cid:commentId w16cid:paraId="432C5C82" w16cid:durableId="2246FDF7"/>
  <w16cid:commentId w16cid:paraId="0EF065E5" w16cid:durableId="2246FE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FB4"/>
    <w:multiLevelType w:val="hybridMultilevel"/>
    <w:tmpl w:val="96802F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6D05"/>
    <w:multiLevelType w:val="hybridMultilevel"/>
    <w:tmpl w:val="E736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56"/>
    <w:rsid w:val="00010FE8"/>
    <w:rsid w:val="00031BB4"/>
    <w:rsid w:val="000B09B9"/>
    <w:rsid w:val="000B787D"/>
    <w:rsid w:val="000E0DA3"/>
    <w:rsid w:val="00121A3C"/>
    <w:rsid w:val="001A1956"/>
    <w:rsid w:val="001B00C7"/>
    <w:rsid w:val="001C049F"/>
    <w:rsid w:val="00212829"/>
    <w:rsid w:val="002D24A5"/>
    <w:rsid w:val="002D6D31"/>
    <w:rsid w:val="00314F14"/>
    <w:rsid w:val="00332186"/>
    <w:rsid w:val="00383F20"/>
    <w:rsid w:val="003879FC"/>
    <w:rsid w:val="003F351E"/>
    <w:rsid w:val="0041654B"/>
    <w:rsid w:val="00500E55"/>
    <w:rsid w:val="00550835"/>
    <w:rsid w:val="00571336"/>
    <w:rsid w:val="00576A8B"/>
    <w:rsid w:val="005953DD"/>
    <w:rsid w:val="00702681"/>
    <w:rsid w:val="007559BD"/>
    <w:rsid w:val="007B6B83"/>
    <w:rsid w:val="00807146"/>
    <w:rsid w:val="0088547F"/>
    <w:rsid w:val="008F4B3C"/>
    <w:rsid w:val="00920BA5"/>
    <w:rsid w:val="0097146C"/>
    <w:rsid w:val="00977FAE"/>
    <w:rsid w:val="009F58F2"/>
    <w:rsid w:val="00A122FF"/>
    <w:rsid w:val="00A16C3A"/>
    <w:rsid w:val="00A72343"/>
    <w:rsid w:val="00A9032C"/>
    <w:rsid w:val="00AB61CC"/>
    <w:rsid w:val="00AD1630"/>
    <w:rsid w:val="00AD755A"/>
    <w:rsid w:val="00AF1A31"/>
    <w:rsid w:val="00B02CE3"/>
    <w:rsid w:val="00B14F1E"/>
    <w:rsid w:val="00B50FA2"/>
    <w:rsid w:val="00B75A64"/>
    <w:rsid w:val="00BA42F8"/>
    <w:rsid w:val="00BD3721"/>
    <w:rsid w:val="00C32687"/>
    <w:rsid w:val="00C953B5"/>
    <w:rsid w:val="00CB7E0C"/>
    <w:rsid w:val="00CD7890"/>
    <w:rsid w:val="00CF0ABE"/>
    <w:rsid w:val="00DA0B0B"/>
    <w:rsid w:val="00DD7A93"/>
    <w:rsid w:val="00E87F2C"/>
    <w:rsid w:val="00EA6230"/>
    <w:rsid w:val="00F15ACD"/>
    <w:rsid w:val="00F67953"/>
    <w:rsid w:val="00FB003E"/>
    <w:rsid w:val="00FD1683"/>
    <w:rsid w:val="015CE4B1"/>
    <w:rsid w:val="01673806"/>
    <w:rsid w:val="021992C3"/>
    <w:rsid w:val="0225E9A8"/>
    <w:rsid w:val="0243F018"/>
    <w:rsid w:val="0288AD4C"/>
    <w:rsid w:val="02AB3AD0"/>
    <w:rsid w:val="02D88B72"/>
    <w:rsid w:val="0336219D"/>
    <w:rsid w:val="03AC09BA"/>
    <w:rsid w:val="03B4B846"/>
    <w:rsid w:val="03CA7016"/>
    <w:rsid w:val="040B56FB"/>
    <w:rsid w:val="04564845"/>
    <w:rsid w:val="0458AC87"/>
    <w:rsid w:val="047E51E2"/>
    <w:rsid w:val="04817E6F"/>
    <w:rsid w:val="04C97611"/>
    <w:rsid w:val="04F96390"/>
    <w:rsid w:val="054C84CD"/>
    <w:rsid w:val="05DC1264"/>
    <w:rsid w:val="062745A1"/>
    <w:rsid w:val="0649EC9B"/>
    <w:rsid w:val="064E62BF"/>
    <w:rsid w:val="0650D785"/>
    <w:rsid w:val="06B02135"/>
    <w:rsid w:val="06E072D3"/>
    <w:rsid w:val="074731BB"/>
    <w:rsid w:val="0795C4EC"/>
    <w:rsid w:val="091417CD"/>
    <w:rsid w:val="09289FDA"/>
    <w:rsid w:val="09472456"/>
    <w:rsid w:val="09CDF78A"/>
    <w:rsid w:val="09DE2681"/>
    <w:rsid w:val="0A64FCF2"/>
    <w:rsid w:val="0AAB60C0"/>
    <w:rsid w:val="0B2CF312"/>
    <w:rsid w:val="0B70C5A9"/>
    <w:rsid w:val="0C9C852F"/>
    <w:rsid w:val="0CBF81B0"/>
    <w:rsid w:val="0CC0C543"/>
    <w:rsid w:val="0CCC24DE"/>
    <w:rsid w:val="0CCCBA48"/>
    <w:rsid w:val="0D4CF566"/>
    <w:rsid w:val="0D596CE8"/>
    <w:rsid w:val="0DB18768"/>
    <w:rsid w:val="0F4DB34A"/>
    <w:rsid w:val="0F9B52BE"/>
    <w:rsid w:val="0FBEB9CF"/>
    <w:rsid w:val="0FFE0F2E"/>
    <w:rsid w:val="10BC6284"/>
    <w:rsid w:val="10FF4ED8"/>
    <w:rsid w:val="11287446"/>
    <w:rsid w:val="1131DB7A"/>
    <w:rsid w:val="118BC14E"/>
    <w:rsid w:val="11ADE3F1"/>
    <w:rsid w:val="11C80F89"/>
    <w:rsid w:val="11D6D71C"/>
    <w:rsid w:val="1215F3D5"/>
    <w:rsid w:val="1225566C"/>
    <w:rsid w:val="12A88157"/>
    <w:rsid w:val="12F73A2E"/>
    <w:rsid w:val="131DED60"/>
    <w:rsid w:val="13204A3F"/>
    <w:rsid w:val="13931086"/>
    <w:rsid w:val="13F610DA"/>
    <w:rsid w:val="13FF2402"/>
    <w:rsid w:val="150F8070"/>
    <w:rsid w:val="152D48C1"/>
    <w:rsid w:val="1544F329"/>
    <w:rsid w:val="15705D14"/>
    <w:rsid w:val="15E8C12A"/>
    <w:rsid w:val="15E9B4C8"/>
    <w:rsid w:val="16051803"/>
    <w:rsid w:val="171F067B"/>
    <w:rsid w:val="173B550A"/>
    <w:rsid w:val="1752CC50"/>
    <w:rsid w:val="1773C90B"/>
    <w:rsid w:val="1830C627"/>
    <w:rsid w:val="18612D0A"/>
    <w:rsid w:val="195ED6FA"/>
    <w:rsid w:val="196C7A2A"/>
    <w:rsid w:val="19984AAA"/>
    <w:rsid w:val="19ED7533"/>
    <w:rsid w:val="1A3EAECB"/>
    <w:rsid w:val="1A769FCC"/>
    <w:rsid w:val="1A949EF2"/>
    <w:rsid w:val="1AC3A380"/>
    <w:rsid w:val="1AC7ABA8"/>
    <w:rsid w:val="1B076187"/>
    <w:rsid w:val="1B6805D5"/>
    <w:rsid w:val="1BEEEBC9"/>
    <w:rsid w:val="1C584A4B"/>
    <w:rsid w:val="1D0A1200"/>
    <w:rsid w:val="1D231CBC"/>
    <w:rsid w:val="1D2363D5"/>
    <w:rsid w:val="1D491F3A"/>
    <w:rsid w:val="1D51DD98"/>
    <w:rsid w:val="1D9AD42A"/>
    <w:rsid w:val="1DF7256E"/>
    <w:rsid w:val="1DFE1865"/>
    <w:rsid w:val="1E34A6B1"/>
    <w:rsid w:val="1E773F3A"/>
    <w:rsid w:val="1EEB488F"/>
    <w:rsid w:val="1F1B3B69"/>
    <w:rsid w:val="1F7F03AF"/>
    <w:rsid w:val="1F822562"/>
    <w:rsid w:val="1FE7A514"/>
    <w:rsid w:val="204D7EB6"/>
    <w:rsid w:val="20758EB1"/>
    <w:rsid w:val="20A4FA96"/>
    <w:rsid w:val="20F9FD6C"/>
    <w:rsid w:val="210CA832"/>
    <w:rsid w:val="21979AB0"/>
    <w:rsid w:val="22420F2D"/>
    <w:rsid w:val="228F26DE"/>
    <w:rsid w:val="22B12D4D"/>
    <w:rsid w:val="22E9880A"/>
    <w:rsid w:val="238FEFD3"/>
    <w:rsid w:val="23AEADCB"/>
    <w:rsid w:val="24635C0E"/>
    <w:rsid w:val="24BE476A"/>
    <w:rsid w:val="252ACA0A"/>
    <w:rsid w:val="25718761"/>
    <w:rsid w:val="268274C9"/>
    <w:rsid w:val="270610B8"/>
    <w:rsid w:val="27A6DD2E"/>
    <w:rsid w:val="27BAFF6E"/>
    <w:rsid w:val="27BB5808"/>
    <w:rsid w:val="2837B043"/>
    <w:rsid w:val="285BDAAA"/>
    <w:rsid w:val="286636C4"/>
    <w:rsid w:val="28864CD3"/>
    <w:rsid w:val="28A3BDE4"/>
    <w:rsid w:val="28D76631"/>
    <w:rsid w:val="28D7D815"/>
    <w:rsid w:val="295129AB"/>
    <w:rsid w:val="29577911"/>
    <w:rsid w:val="29923156"/>
    <w:rsid w:val="29CD3601"/>
    <w:rsid w:val="2A320109"/>
    <w:rsid w:val="2A979E75"/>
    <w:rsid w:val="2B0814F4"/>
    <w:rsid w:val="2B2CA806"/>
    <w:rsid w:val="2B6A1334"/>
    <w:rsid w:val="2C5571A6"/>
    <w:rsid w:val="2CC6CE3B"/>
    <w:rsid w:val="2CEAC520"/>
    <w:rsid w:val="2CEC0949"/>
    <w:rsid w:val="2D29945F"/>
    <w:rsid w:val="2DA792F7"/>
    <w:rsid w:val="2EC6BFD5"/>
    <w:rsid w:val="2F4E86A2"/>
    <w:rsid w:val="2FC68000"/>
    <w:rsid w:val="2FE1ED1D"/>
    <w:rsid w:val="2FF8CB83"/>
    <w:rsid w:val="3067D7B8"/>
    <w:rsid w:val="30736063"/>
    <w:rsid w:val="308196D3"/>
    <w:rsid w:val="30D95BBF"/>
    <w:rsid w:val="30F33FB8"/>
    <w:rsid w:val="3124E5B1"/>
    <w:rsid w:val="3142D623"/>
    <w:rsid w:val="3160BE57"/>
    <w:rsid w:val="31B24267"/>
    <w:rsid w:val="322B0B0E"/>
    <w:rsid w:val="327D7407"/>
    <w:rsid w:val="331F70AB"/>
    <w:rsid w:val="33574E9B"/>
    <w:rsid w:val="340F9619"/>
    <w:rsid w:val="3413490F"/>
    <w:rsid w:val="342765D7"/>
    <w:rsid w:val="34B26D6A"/>
    <w:rsid w:val="34B827FE"/>
    <w:rsid w:val="35F7A75E"/>
    <w:rsid w:val="37049A73"/>
    <w:rsid w:val="371514D8"/>
    <w:rsid w:val="37338876"/>
    <w:rsid w:val="37A7B18B"/>
    <w:rsid w:val="3801B35E"/>
    <w:rsid w:val="3807646E"/>
    <w:rsid w:val="381E6CE6"/>
    <w:rsid w:val="38236B4A"/>
    <w:rsid w:val="3824D4E0"/>
    <w:rsid w:val="38AF8378"/>
    <w:rsid w:val="391C1410"/>
    <w:rsid w:val="39317F91"/>
    <w:rsid w:val="39452C34"/>
    <w:rsid w:val="3946D153"/>
    <w:rsid w:val="39D4D747"/>
    <w:rsid w:val="39E6D7BF"/>
    <w:rsid w:val="3A76591D"/>
    <w:rsid w:val="3A93B0CF"/>
    <w:rsid w:val="3AC93226"/>
    <w:rsid w:val="3AE08376"/>
    <w:rsid w:val="3AEFC08F"/>
    <w:rsid w:val="3B866FB5"/>
    <w:rsid w:val="3BD4B46A"/>
    <w:rsid w:val="3C5436A5"/>
    <w:rsid w:val="3CA665E1"/>
    <w:rsid w:val="3CBC1A69"/>
    <w:rsid w:val="3D3F2598"/>
    <w:rsid w:val="3D4557D4"/>
    <w:rsid w:val="3D839FB3"/>
    <w:rsid w:val="3DA97EB4"/>
    <w:rsid w:val="3DB4AEC3"/>
    <w:rsid w:val="3E7ABA2E"/>
    <w:rsid w:val="3ED1E401"/>
    <w:rsid w:val="3FA92A88"/>
    <w:rsid w:val="401F7137"/>
    <w:rsid w:val="404327CA"/>
    <w:rsid w:val="40590B71"/>
    <w:rsid w:val="40BBC44D"/>
    <w:rsid w:val="40F1A993"/>
    <w:rsid w:val="41B4CB45"/>
    <w:rsid w:val="434F5978"/>
    <w:rsid w:val="439449F9"/>
    <w:rsid w:val="43959FE5"/>
    <w:rsid w:val="43FFD01B"/>
    <w:rsid w:val="4423C0AA"/>
    <w:rsid w:val="448E700C"/>
    <w:rsid w:val="44D72035"/>
    <w:rsid w:val="454B10B3"/>
    <w:rsid w:val="458E88B4"/>
    <w:rsid w:val="45B14B8C"/>
    <w:rsid w:val="45D739A8"/>
    <w:rsid w:val="46093F85"/>
    <w:rsid w:val="461ED516"/>
    <w:rsid w:val="4639FE61"/>
    <w:rsid w:val="4640F680"/>
    <w:rsid w:val="46DD13CD"/>
    <w:rsid w:val="4796E24B"/>
    <w:rsid w:val="48997823"/>
    <w:rsid w:val="489B3272"/>
    <w:rsid w:val="48B6F51D"/>
    <w:rsid w:val="48F5287C"/>
    <w:rsid w:val="48F98F27"/>
    <w:rsid w:val="49E15C76"/>
    <w:rsid w:val="4A5E3E08"/>
    <w:rsid w:val="4A757961"/>
    <w:rsid w:val="4AC5C227"/>
    <w:rsid w:val="4B24E7A4"/>
    <w:rsid w:val="4CA9A8EF"/>
    <w:rsid w:val="4D02DD46"/>
    <w:rsid w:val="4D7B53F5"/>
    <w:rsid w:val="4DF6299A"/>
    <w:rsid w:val="4E6A487B"/>
    <w:rsid w:val="4E87C2C3"/>
    <w:rsid w:val="4EE26827"/>
    <w:rsid w:val="4F34B849"/>
    <w:rsid w:val="4F380508"/>
    <w:rsid w:val="4FDDD1FA"/>
    <w:rsid w:val="510287E8"/>
    <w:rsid w:val="5126FC34"/>
    <w:rsid w:val="51347BE0"/>
    <w:rsid w:val="5188A8B5"/>
    <w:rsid w:val="51EF9038"/>
    <w:rsid w:val="5204A417"/>
    <w:rsid w:val="524C4561"/>
    <w:rsid w:val="52716D50"/>
    <w:rsid w:val="52B4ADFF"/>
    <w:rsid w:val="52CCA61E"/>
    <w:rsid w:val="53171CE5"/>
    <w:rsid w:val="535F7C29"/>
    <w:rsid w:val="53F44B54"/>
    <w:rsid w:val="54FACA31"/>
    <w:rsid w:val="55440732"/>
    <w:rsid w:val="55511B68"/>
    <w:rsid w:val="559B5894"/>
    <w:rsid w:val="55EAAFA7"/>
    <w:rsid w:val="56531783"/>
    <w:rsid w:val="56B1A5F5"/>
    <w:rsid w:val="56C389F9"/>
    <w:rsid w:val="57138D9D"/>
    <w:rsid w:val="578900E3"/>
    <w:rsid w:val="579B922B"/>
    <w:rsid w:val="57BA4BE1"/>
    <w:rsid w:val="5A6000E2"/>
    <w:rsid w:val="5A7162CF"/>
    <w:rsid w:val="5BA0BE1E"/>
    <w:rsid w:val="5BAB2A50"/>
    <w:rsid w:val="5BDC7AA9"/>
    <w:rsid w:val="5C2CDBBF"/>
    <w:rsid w:val="5C6EE8CD"/>
    <w:rsid w:val="5CC005BF"/>
    <w:rsid w:val="5CC1BB9A"/>
    <w:rsid w:val="5D7DE6FB"/>
    <w:rsid w:val="5E0CC605"/>
    <w:rsid w:val="5F7353DC"/>
    <w:rsid w:val="5F7C943E"/>
    <w:rsid w:val="5F7F825A"/>
    <w:rsid w:val="5F8998EF"/>
    <w:rsid w:val="5F8B5A7A"/>
    <w:rsid w:val="5F909B5F"/>
    <w:rsid w:val="604C624E"/>
    <w:rsid w:val="604E8637"/>
    <w:rsid w:val="605DB258"/>
    <w:rsid w:val="60A089CB"/>
    <w:rsid w:val="61064CA6"/>
    <w:rsid w:val="61B5E1F8"/>
    <w:rsid w:val="62037D34"/>
    <w:rsid w:val="62F8278F"/>
    <w:rsid w:val="6354C3E5"/>
    <w:rsid w:val="63B5A5B8"/>
    <w:rsid w:val="644A7F16"/>
    <w:rsid w:val="64D3CE78"/>
    <w:rsid w:val="65134BEC"/>
    <w:rsid w:val="65F13F47"/>
    <w:rsid w:val="66A51886"/>
    <w:rsid w:val="66A9B324"/>
    <w:rsid w:val="670DA0C6"/>
    <w:rsid w:val="67D59012"/>
    <w:rsid w:val="687EB15C"/>
    <w:rsid w:val="6898343F"/>
    <w:rsid w:val="68BDF9E4"/>
    <w:rsid w:val="68D9BC8F"/>
    <w:rsid w:val="68E5B6ED"/>
    <w:rsid w:val="697574F2"/>
    <w:rsid w:val="69BDED72"/>
    <w:rsid w:val="6A37A8B1"/>
    <w:rsid w:val="6A52EE65"/>
    <w:rsid w:val="6A95C67C"/>
    <w:rsid w:val="6AC4B22A"/>
    <w:rsid w:val="6AD773A2"/>
    <w:rsid w:val="6B100340"/>
    <w:rsid w:val="6B2A1A70"/>
    <w:rsid w:val="6B91AF46"/>
    <w:rsid w:val="6D52E096"/>
    <w:rsid w:val="6DC7C579"/>
    <w:rsid w:val="6E0D8EFE"/>
    <w:rsid w:val="6E38E0FD"/>
    <w:rsid w:val="6E3FBF21"/>
    <w:rsid w:val="6F156B11"/>
    <w:rsid w:val="6F241A55"/>
    <w:rsid w:val="6FBA8504"/>
    <w:rsid w:val="7146DE3C"/>
    <w:rsid w:val="7150D5FD"/>
    <w:rsid w:val="720E4CC1"/>
    <w:rsid w:val="72656693"/>
    <w:rsid w:val="7265B10B"/>
    <w:rsid w:val="728FAE9D"/>
    <w:rsid w:val="7378678C"/>
    <w:rsid w:val="75105967"/>
    <w:rsid w:val="75602750"/>
    <w:rsid w:val="76B3D8D0"/>
    <w:rsid w:val="7739222E"/>
    <w:rsid w:val="7873F9D3"/>
    <w:rsid w:val="78AA0535"/>
    <w:rsid w:val="78B85055"/>
    <w:rsid w:val="78F0896D"/>
    <w:rsid w:val="7904811F"/>
    <w:rsid w:val="79574CF6"/>
    <w:rsid w:val="7964817B"/>
    <w:rsid w:val="79658EB4"/>
    <w:rsid w:val="79A945CD"/>
    <w:rsid w:val="79AE9285"/>
    <w:rsid w:val="79D9E767"/>
    <w:rsid w:val="7A4B6D08"/>
    <w:rsid w:val="7AD5AA6F"/>
    <w:rsid w:val="7B454EB2"/>
    <w:rsid w:val="7BA8E5E0"/>
    <w:rsid w:val="7C02FD04"/>
    <w:rsid w:val="7D012696"/>
    <w:rsid w:val="7D40D441"/>
    <w:rsid w:val="7DCF0FA2"/>
    <w:rsid w:val="7DF3AF7F"/>
    <w:rsid w:val="7E2F0229"/>
    <w:rsid w:val="7E6B2181"/>
    <w:rsid w:val="7FC2A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2FFB"/>
  <w15:chartTrackingRefBased/>
  <w15:docId w15:val="{B3A3B073-7735-42F9-80F8-F697F1F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0BA5"/>
    <w:pPr>
      <w:ind w:left="720"/>
      <w:contextualSpacing/>
    </w:pPr>
  </w:style>
  <w:style w:type="character" w:styleId="Rimandocommento">
    <w:name w:val="annotation reference"/>
    <w:basedOn w:val="Carpredefinitoparagrafo"/>
    <w:uiPriority w:val="99"/>
    <w:semiHidden/>
    <w:unhideWhenUsed/>
    <w:rsid w:val="00031BB4"/>
    <w:rPr>
      <w:sz w:val="16"/>
      <w:szCs w:val="16"/>
    </w:rPr>
  </w:style>
  <w:style w:type="paragraph" w:styleId="Testocommento">
    <w:name w:val="annotation text"/>
    <w:basedOn w:val="Normale"/>
    <w:link w:val="TestocommentoCarattere"/>
    <w:uiPriority w:val="99"/>
    <w:semiHidden/>
    <w:unhideWhenUsed/>
    <w:rsid w:val="00031B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31BB4"/>
    <w:rPr>
      <w:sz w:val="20"/>
      <w:szCs w:val="20"/>
    </w:rPr>
  </w:style>
  <w:style w:type="paragraph" w:styleId="Soggettocommento">
    <w:name w:val="annotation subject"/>
    <w:basedOn w:val="Testocommento"/>
    <w:next w:val="Testocommento"/>
    <w:link w:val="SoggettocommentoCarattere"/>
    <w:uiPriority w:val="99"/>
    <w:semiHidden/>
    <w:unhideWhenUsed/>
    <w:rsid w:val="00031BB4"/>
    <w:rPr>
      <w:b/>
      <w:bCs/>
    </w:rPr>
  </w:style>
  <w:style w:type="character" w:customStyle="1" w:styleId="SoggettocommentoCarattere">
    <w:name w:val="Soggetto commento Carattere"/>
    <w:basedOn w:val="TestocommentoCarattere"/>
    <w:link w:val="Soggettocommento"/>
    <w:uiPriority w:val="99"/>
    <w:semiHidden/>
    <w:rsid w:val="00031BB4"/>
    <w:rPr>
      <w:b/>
      <w:bCs/>
      <w:sz w:val="20"/>
      <w:szCs w:val="20"/>
    </w:rPr>
  </w:style>
  <w:style w:type="paragraph" w:styleId="Testofumetto">
    <w:name w:val="Balloon Text"/>
    <w:basedOn w:val="Normale"/>
    <w:link w:val="TestofumettoCarattere"/>
    <w:uiPriority w:val="99"/>
    <w:semiHidden/>
    <w:unhideWhenUsed/>
    <w:rsid w:val="00031B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1BB4"/>
    <w:rPr>
      <w:rFonts w:ascii="Segoe UI" w:hAnsi="Segoe UI" w:cs="Segoe UI"/>
      <w:sz w:val="18"/>
      <w:szCs w:val="18"/>
    </w:rPr>
  </w:style>
  <w:style w:type="paragraph" w:customStyle="1" w:styleId="Default">
    <w:name w:val="Default"/>
    <w:rsid w:val="001B00C7"/>
    <w:pPr>
      <w:autoSpaceDE w:val="0"/>
      <w:autoSpaceDN w:val="0"/>
      <w:adjustRightInd w:val="0"/>
      <w:spacing w:after="0" w:line="240" w:lineRule="auto"/>
    </w:pPr>
    <w:rPr>
      <w:rFonts w:ascii="Century Gothic" w:hAnsi="Century Gothic" w:cs="Century Gothic"/>
      <w:color w:val="000000"/>
      <w:sz w:val="24"/>
      <w:szCs w:val="24"/>
    </w:rPr>
  </w:style>
  <w:style w:type="character" w:styleId="Enfasicorsivo">
    <w:name w:val="Emphasis"/>
    <w:basedOn w:val="Carpredefinitoparagrafo"/>
    <w:uiPriority w:val="20"/>
    <w:qFormat/>
    <w:rsid w:val="00AD1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2b36dac9da914a1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F8B3C3D7051D4B9340605CB83F011D" ma:contentTypeVersion="13" ma:contentTypeDescription="Creare un nuovo documento." ma:contentTypeScope="" ma:versionID="10341908c9f119ec2c557138b127dc1b">
  <xsd:schema xmlns:xsd="http://www.w3.org/2001/XMLSchema" xmlns:xs="http://www.w3.org/2001/XMLSchema" xmlns:p="http://schemas.microsoft.com/office/2006/metadata/properties" xmlns:ns3="a5483488-ea82-4453-8881-d499d1d2f288" xmlns:ns4="70febe6d-1d2d-4a5b-b7ac-db71b3c3b2a6" targetNamespace="http://schemas.microsoft.com/office/2006/metadata/properties" ma:root="true" ma:fieldsID="0abf56589744e98c8ea9cd80d0ffede2" ns3:_="" ns4:_="">
    <xsd:import namespace="a5483488-ea82-4453-8881-d499d1d2f288"/>
    <xsd:import namespace="70febe6d-1d2d-4a5b-b7ac-db71b3c3b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3488-ea82-4453-8881-d499d1d2f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ebe6d-1d2d-4a5b-b7ac-db71b3c3b2a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1CBF-2331-4A79-870A-161234752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C0029-01C7-40BC-8488-60F12272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3488-ea82-4453-8881-d499d1d2f288"/>
    <ds:schemaRef ds:uri="70febe6d-1d2d-4a5b-b7ac-db71b3c3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B3346-3902-4DD8-8792-EB093D84F62C}">
  <ds:schemaRefs>
    <ds:schemaRef ds:uri="http://schemas.microsoft.com/sharepoint/v3/contenttype/forms"/>
  </ds:schemaRefs>
</ds:datastoreItem>
</file>

<file path=customXml/itemProps4.xml><?xml version="1.0" encoding="utf-8"?>
<ds:datastoreItem xmlns:ds="http://schemas.openxmlformats.org/officeDocument/2006/customXml" ds:itemID="{2E873672-67DB-4130-AAAE-316F36F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FAO of the UN</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 H. Bori</dc:creator>
  <cp:keywords/>
  <dc:description/>
  <cp:lastModifiedBy>Pompili, Benedetta (OCS)</cp:lastModifiedBy>
  <cp:revision>2</cp:revision>
  <dcterms:created xsi:type="dcterms:W3CDTF">2021-11-05T09:45:00Z</dcterms:created>
  <dcterms:modified xsi:type="dcterms:W3CDTF">2021-11-05T09:45:00Z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0x01010098F8B3C3D7051D4B9340605CB83F011D</vt:lpwstr>
  </property>
</Properties>
</file>